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BA9F09" w14:textId="3C744FC4" w:rsidR="003631E0" w:rsidRPr="00A86B21" w:rsidRDefault="003631E0" w:rsidP="00DA7115">
      <w:pPr>
        <w:pStyle w:val="MH1nonumb"/>
        <w:spacing w:after="0"/>
      </w:pPr>
      <w:r w:rsidRPr="00A86B21">
        <w:t xml:space="preserve">EXECUTIVE SUMMARY – INVESTORS’ RESIDENCE SCHEME IN </w:t>
      </w:r>
      <w:r w:rsidR="00BF17AB" w:rsidRPr="00A86B21">
        <w:t>CROATIA</w:t>
      </w:r>
    </w:p>
    <w:p w14:paraId="7FC20E9A" w14:textId="77777777" w:rsidR="00B24F5B" w:rsidRPr="00A86B21" w:rsidRDefault="00B24F5B" w:rsidP="00A86B21">
      <w:pPr>
        <w:spacing w:after="0" w:line="240" w:lineRule="auto"/>
        <w:rPr>
          <w:b/>
          <w:i/>
          <w:sz w:val="22"/>
          <w:szCs w:val="22"/>
        </w:rPr>
      </w:pPr>
    </w:p>
    <w:p w14:paraId="70155622" w14:textId="2B0F29C4" w:rsidR="00C20061" w:rsidRPr="00A86B21" w:rsidRDefault="00C20061" w:rsidP="00A86B21">
      <w:pPr>
        <w:spacing w:after="0" w:line="240" w:lineRule="auto"/>
        <w:rPr>
          <w:b/>
          <w:i/>
          <w:sz w:val="22"/>
          <w:szCs w:val="22"/>
        </w:rPr>
      </w:pPr>
      <w:r w:rsidRPr="00A86B21">
        <w:rPr>
          <w:b/>
          <w:i/>
          <w:sz w:val="22"/>
          <w:szCs w:val="22"/>
        </w:rPr>
        <w:t>General background</w:t>
      </w:r>
    </w:p>
    <w:p w14:paraId="6F8CA5A3" w14:textId="77777777" w:rsidR="0086028B" w:rsidRPr="00A86B21" w:rsidRDefault="0086028B" w:rsidP="00A86B21">
      <w:pPr>
        <w:spacing w:after="0" w:line="240" w:lineRule="auto"/>
        <w:rPr>
          <w:b/>
          <w:i/>
          <w:sz w:val="22"/>
          <w:szCs w:val="22"/>
        </w:rPr>
      </w:pPr>
    </w:p>
    <w:p w14:paraId="3F7F67F7" w14:textId="26096A3C" w:rsidR="00926AE3" w:rsidRPr="00A86B21" w:rsidRDefault="00926AE3" w:rsidP="00DA7115">
      <w:pPr>
        <w:widowControl w:val="0"/>
        <w:spacing w:after="0" w:line="240" w:lineRule="auto"/>
        <w:jc w:val="both"/>
        <w:rPr>
          <w:color w:val="000000" w:themeColor="text1"/>
          <w:sz w:val="22"/>
          <w:szCs w:val="22"/>
        </w:rPr>
      </w:pPr>
      <w:r w:rsidRPr="00A86B21">
        <w:rPr>
          <w:color w:val="000000" w:themeColor="text1"/>
          <w:sz w:val="22"/>
          <w:szCs w:val="22"/>
        </w:rPr>
        <w:t>The</w:t>
      </w:r>
      <w:r w:rsidRPr="00A86B21">
        <w:rPr>
          <w:b/>
          <w:color w:val="000000" w:themeColor="text1"/>
          <w:sz w:val="22"/>
          <w:szCs w:val="22"/>
        </w:rPr>
        <w:t xml:space="preserve"> </w:t>
      </w:r>
      <w:r w:rsidR="00AA11E2" w:rsidRPr="00A86B21">
        <w:rPr>
          <w:b/>
          <w:color w:val="000000" w:themeColor="text1"/>
          <w:sz w:val="22"/>
          <w:szCs w:val="22"/>
        </w:rPr>
        <w:t xml:space="preserve">investors’ </w:t>
      </w:r>
      <w:r w:rsidRPr="00A86B21">
        <w:rPr>
          <w:b/>
          <w:color w:val="000000" w:themeColor="text1"/>
          <w:sz w:val="22"/>
          <w:szCs w:val="22"/>
        </w:rPr>
        <w:t>residence scheme</w:t>
      </w:r>
      <w:r w:rsidRPr="00A86B21">
        <w:rPr>
          <w:color w:val="000000" w:themeColor="text1"/>
          <w:sz w:val="22"/>
          <w:szCs w:val="22"/>
        </w:rPr>
        <w:t xml:space="preserve"> was introduced in 2011</w:t>
      </w:r>
      <w:r w:rsidR="00661D73" w:rsidRPr="00A86B21">
        <w:rPr>
          <w:color w:val="000000" w:themeColor="text1"/>
          <w:sz w:val="22"/>
          <w:szCs w:val="22"/>
        </w:rPr>
        <w:t xml:space="preserve">, in the framework of </w:t>
      </w:r>
      <w:r w:rsidR="003113F5" w:rsidRPr="00A86B21">
        <w:rPr>
          <w:color w:val="000000" w:themeColor="text1"/>
          <w:sz w:val="22"/>
          <w:szCs w:val="22"/>
        </w:rPr>
        <w:t>regulating the status of aliens, i.e</w:t>
      </w:r>
      <w:r w:rsidR="00F86B11" w:rsidRPr="00A86B21">
        <w:rPr>
          <w:color w:val="000000" w:themeColor="text1"/>
          <w:sz w:val="22"/>
          <w:szCs w:val="22"/>
        </w:rPr>
        <w:t>.</w:t>
      </w:r>
      <w:r w:rsidR="003113F5" w:rsidRPr="00A86B21">
        <w:rPr>
          <w:color w:val="000000" w:themeColor="text1"/>
          <w:sz w:val="22"/>
          <w:szCs w:val="22"/>
        </w:rPr>
        <w:t xml:space="preserve"> </w:t>
      </w:r>
      <w:r w:rsidR="00661D73" w:rsidRPr="00A86B21">
        <w:rPr>
          <w:color w:val="000000" w:themeColor="text1"/>
          <w:sz w:val="22"/>
          <w:szCs w:val="22"/>
        </w:rPr>
        <w:t>setting the</w:t>
      </w:r>
      <w:r w:rsidR="00661D73" w:rsidRPr="00A86B21">
        <w:rPr>
          <w:sz w:val="22"/>
          <w:szCs w:val="22"/>
        </w:rPr>
        <w:t xml:space="preserve"> conditions for the entry, movement, stay and work of third-country nationals and members of their families </w:t>
      </w:r>
      <w:r w:rsidR="003113F5" w:rsidRPr="00A86B21">
        <w:rPr>
          <w:sz w:val="22"/>
          <w:szCs w:val="22"/>
        </w:rPr>
        <w:t xml:space="preserve">in </w:t>
      </w:r>
      <w:r w:rsidR="00661D73" w:rsidRPr="00A86B21">
        <w:rPr>
          <w:color w:val="000000" w:themeColor="text1"/>
          <w:sz w:val="22"/>
          <w:szCs w:val="22"/>
        </w:rPr>
        <w:t>the Republic of Croatia.</w:t>
      </w:r>
      <w:r w:rsidR="003113F5" w:rsidRPr="00A86B21">
        <w:rPr>
          <w:color w:val="000000" w:themeColor="text1"/>
          <w:sz w:val="22"/>
          <w:szCs w:val="22"/>
        </w:rPr>
        <w:t xml:space="preserve"> </w:t>
      </w:r>
      <w:r w:rsidR="00896C75" w:rsidRPr="00A86B21">
        <w:rPr>
          <w:color w:val="000000" w:themeColor="text1"/>
          <w:sz w:val="22"/>
          <w:szCs w:val="22"/>
        </w:rPr>
        <w:t xml:space="preserve">The latest amendments to the original scheme were </w:t>
      </w:r>
      <w:r w:rsidR="00ED4DE8" w:rsidRPr="00A86B21">
        <w:rPr>
          <w:color w:val="000000" w:themeColor="text1"/>
          <w:sz w:val="22"/>
          <w:szCs w:val="22"/>
        </w:rPr>
        <w:t xml:space="preserve">put into effect in </w:t>
      </w:r>
      <w:r w:rsidR="00F86B11" w:rsidRPr="00A86B21">
        <w:rPr>
          <w:color w:val="000000" w:themeColor="text1"/>
          <w:sz w:val="22"/>
          <w:szCs w:val="22"/>
        </w:rPr>
        <w:t>2017</w:t>
      </w:r>
      <w:r w:rsidR="00ED4DE8" w:rsidRPr="00A86B21">
        <w:rPr>
          <w:color w:val="000000" w:themeColor="text1"/>
          <w:sz w:val="22"/>
          <w:szCs w:val="22"/>
        </w:rPr>
        <w:t>.</w:t>
      </w:r>
      <w:r w:rsidR="00B94173" w:rsidRPr="00A86B21">
        <w:rPr>
          <w:color w:val="000000" w:themeColor="text1"/>
          <w:sz w:val="22"/>
          <w:szCs w:val="22"/>
        </w:rPr>
        <w:t xml:space="preserve"> </w:t>
      </w:r>
      <w:r w:rsidR="003113F5" w:rsidRPr="00A86B21">
        <w:rPr>
          <w:color w:val="000000" w:themeColor="text1"/>
          <w:sz w:val="22"/>
          <w:szCs w:val="22"/>
        </w:rPr>
        <w:t xml:space="preserve"> </w:t>
      </w:r>
    </w:p>
    <w:p w14:paraId="374E8F76" w14:textId="77777777" w:rsidR="007765C2" w:rsidRPr="00A86B21" w:rsidRDefault="007765C2" w:rsidP="00DA7115">
      <w:pPr>
        <w:widowControl w:val="0"/>
        <w:spacing w:after="0" w:line="240" w:lineRule="auto"/>
        <w:jc w:val="both"/>
        <w:rPr>
          <w:b/>
          <w:color w:val="000000" w:themeColor="text1"/>
          <w:sz w:val="22"/>
          <w:szCs w:val="22"/>
        </w:rPr>
      </w:pPr>
    </w:p>
    <w:p w14:paraId="07113DAB" w14:textId="2BEDE6A1" w:rsidR="00B61FDA" w:rsidRPr="00A86B21" w:rsidRDefault="007765C2" w:rsidP="00DA7115">
      <w:pPr>
        <w:widowControl w:val="0"/>
        <w:spacing w:after="0" w:line="240" w:lineRule="auto"/>
        <w:jc w:val="both"/>
        <w:rPr>
          <w:rStyle w:val="Emphasis"/>
          <w:i w:val="0"/>
          <w:sz w:val="22"/>
          <w:szCs w:val="22"/>
        </w:rPr>
      </w:pPr>
      <w:r w:rsidRPr="00A86B21">
        <w:rPr>
          <w:color w:val="000000" w:themeColor="text1"/>
          <w:sz w:val="22"/>
          <w:szCs w:val="22"/>
        </w:rPr>
        <w:t xml:space="preserve">The scheme is regulated in </w:t>
      </w:r>
      <w:r w:rsidR="00750FF3" w:rsidRPr="00A86B21">
        <w:rPr>
          <w:b/>
          <w:color w:val="000000" w:themeColor="text1"/>
          <w:sz w:val="22"/>
          <w:szCs w:val="22"/>
        </w:rPr>
        <w:t>part V of the Aliens Act</w:t>
      </w:r>
      <w:r w:rsidR="00A87614" w:rsidRPr="00A86B21">
        <w:rPr>
          <w:color w:val="000000" w:themeColor="text1"/>
          <w:sz w:val="22"/>
          <w:szCs w:val="22"/>
        </w:rPr>
        <w:t>,</w:t>
      </w:r>
      <w:r w:rsidR="00AA11E2" w:rsidRPr="00A86B21">
        <w:rPr>
          <w:color w:val="000000" w:themeColor="text1"/>
          <w:sz w:val="22"/>
          <w:szCs w:val="22"/>
          <w:vertAlign w:val="superscript"/>
        </w:rPr>
        <w:footnoteReference w:id="1"/>
      </w:r>
      <w:r w:rsidRPr="00A86B21">
        <w:rPr>
          <w:b/>
          <w:color w:val="000000" w:themeColor="text1"/>
          <w:sz w:val="22"/>
          <w:szCs w:val="22"/>
        </w:rPr>
        <w:t xml:space="preserve"> </w:t>
      </w:r>
      <w:r w:rsidR="00750FF3" w:rsidRPr="00A86B21">
        <w:rPr>
          <w:color w:val="000000" w:themeColor="text1"/>
          <w:sz w:val="22"/>
          <w:szCs w:val="22"/>
        </w:rPr>
        <w:t>specifically in Articles</w:t>
      </w:r>
      <w:r w:rsidRPr="00A86B21">
        <w:rPr>
          <w:color w:val="000000" w:themeColor="text1"/>
          <w:sz w:val="22"/>
          <w:szCs w:val="22"/>
        </w:rPr>
        <w:t xml:space="preserve"> </w:t>
      </w:r>
      <w:r w:rsidR="00A87614" w:rsidRPr="00A86B21">
        <w:rPr>
          <w:sz w:val="22"/>
          <w:szCs w:val="22"/>
        </w:rPr>
        <w:t>76, 77 and 78</w:t>
      </w:r>
      <w:r w:rsidR="00A87614" w:rsidRPr="00A86B21">
        <w:rPr>
          <w:color w:val="000000" w:themeColor="text1"/>
          <w:sz w:val="22"/>
          <w:szCs w:val="22"/>
        </w:rPr>
        <w:t xml:space="preserve"> </w:t>
      </w:r>
      <w:r w:rsidR="00B61FDA" w:rsidRPr="00A86B21">
        <w:rPr>
          <w:sz w:val="22"/>
          <w:szCs w:val="22"/>
        </w:rPr>
        <w:t>on</w:t>
      </w:r>
      <w:r w:rsidR="00A87614" w:rsidRPr="00A86B21">
        <w:rPr>
          <w:sz w:val="22"/>
          <w:szCs w:val="22"/>
        </w:rPr>
        <w:t xml:space="preserve"> </w:t>
      </w:r>
      <w:r w:rsidR="00B61FDA" w:rsidRPr="00A86B21">
        <w:rPr>
          <w:sz w:val="22"/>
          <w:szCs w:val="22"/>
        </w:rPr>
        <w:t>the</w:t>
      </w:r>
      <w:r w:rsidR="00A87614" w:rsidRPr="00A86B21">
        <w:rPr>
          <w:sz w:val="22"/>
          <w:szCs w:val="22"/>
        </w:rPr>
        <w:t xml:space="preserve"> residence and work permit for third-country nationals outside the annual quota.</w:t>
      </w:r>
      <w:r w:rsidR="00A87614" w:rsidRPr="00A86B21">
        <w:rPr>
          <w:color w:val="000000" w:themeColor="text1"/>
          <w:sz w:val="22"/>
          <w:szCs w:val="22"/>
        </w:rPr>
        <w:t xml:space="preserve"> </w:t>
      </w:r>
      <w:r w:rsidR="00B61FDA" w:rsidRPr="00A86B21">
        <w:rPr>
          <w:color w:val="000000" w:themeColor="text1"/>
          <w:sz w:val="22"/>
          <w:szCs w:val="22"/>
        </w:rPr>
        <w:t xml:space="preserve">These provisions are supplemented and further elaborated by </w:t>
      </w:r>
      <w:r w:rsidR="00EE17B5" w:rsidRPr="00A86B21">
        <w:rPr>
          <w:color w:val="000000" w:themeColor="text1"/>
          <w:sz w:val="22"/>
          <w:szCs w:val="22"/>
        </w:rPr>
        <w:t xml:space="preserve">Articles </w:t>
      </w:r>
      <w:r w:rsidR="00B3648E" w:rsidRPr="00A86B21">
        <w:rPr>
          <w:color w:val="000000" w:themeColor="text1"/>
          <w:sz w:val="22"/>
          <w:szCs w:val="22"/>
        </w:rPr>
        <w:t xml:space="preserve">24, </w:t>
      </w:r>
      <w:r w:rsidR="00EE17B5" w:rsidRPr="00A86B21">
        <w:rPr>
          <w:color w:val="000000" w:themeColor="text1"/>
          <w:sz w:val="22"/>
          <w:szCs w:val="22"/>
        </w:rPr>
        <w:t xml:space="preserve">25 and 26 of </w:t>
      </w:r>
      <w:r w:rsidR="00B61FDA" w:rsidRPr="00A86B21">
        <w:rPr>
          <w:sz w:val="22"/>
          <w:szCs w:val="22"/>
        </w:rPr>
        <w:t xml:space="preserve">the </w:t>
      </w:r>
      <w:r w:rsidR="00B61FDA" w:rsidRPr="00A86B21">
        <w:rPr>
          <w:rStyle w:val="st1"/>
          <w:b/>
          <w:sz w:val="22"/>
          <w:szCs w:val="22"/>
        </w:rPr>
        <w:t xml:space="preserve">Regulation on the </w:t>
      </w:r>
      <w:r w:rsidR="00B61FDA" w:rsidRPr="00A86B21">
        <w:rPr>
          <w:rStyle w:val="Emphasis"/>
          <w:b/>
          <w:i w:val="0"/>
          <w:sz w:val="22"/>
          <w:szCs w:val="22"/>
        </w:rPr>
        <w:t>Status and Work of Aliens</w:t>
      </w:r>
      <w:r w:rsidR="00B61FDA" w:rsidRPr="00A86B21">
        <w:rPr>
          <w:rStyle w:val="st1"/>
          <w:b/>
          <w:sz w:val="22"/>
          <w:szCs w:val="22"/>
        </w:rPr>
        <w:t xml:space="preserve"> in the </w:t>
      </w:r>
      <w:r w:rsidR="00B61FDA" w:rsidRPr="00A86B21">
        <w:rPr>
          <w:rStyle w:val="Emphasis"/>
          <w:b/>
          <w:i w:val="0"/>
          <w:sz w:val="22"/>
          <w:szCs w:val="22"/>
        </w:rPr>
        <w:t>Republic of Croatia</w:t>
      </w:r>
      <w:r w:rsidR="00B61FDA" w:rsidRPr="00A86B21">
        <w:rPr>
          <w:rStyle w:val="Emphasis"/>
          <w:i w:val="0"/>
          <w:sz w:val="22"/>
          <w:szCs w:val="22"/>
        </w:rPr>
        <w:t>.</w:t>
      </w:r>
      <w:r w:rsidR="00153CC3" w:rsidRPr="00A86B21">
        <w:rPr>
          <w:rStyle w:val="FootnoteReference"/>
          <w:sz w:val="22"/>
          <w:szCs w:val="22"/>
        </w:rPr>
        <w:footnoteReference w:id="2"/>
      </w:r>
    </w:p>
    <w:p w14:paraId="17073593" w14:textId="77777777" w:rsidR="007765C2" w:rsidRPr="00A86B21" w:rsidRDefault="007765C2" w:rsidP="00DA7115">
      <w:pPr>
        <w:widowControl w:val="0"/>
        <w:spacing w:after="0" w:line="240" w:lineRule="auto"/>
        <w:jc w:val="both"/>
        <w:rPr>
          <w:color w:val="000000" w:themeColor="text1"/>
          <w:sz w:val="22"/>
          <w:szCs w:val="22"/>
        </w:rPr>
      </w:pPr>
    </w:p>
    <w:p w14:paraId="4EDF24C0" w14:textId="731C66FA" w:rsidR="004B7171" w:rsidRPr="00A86B21" w:rsidRDefault="007765C2" w:rsidP="00DA7115">
      <w:pPr>
        <w:widowControl w:val="0"/>
        <w:spacing w:after="0" w:line="240" w:lineRule="auto"/>
        <w:jc w:val="both"/>
        <w:rPr>
          <w:sz w:val="22"/>
          <w:szCs w:val="22"/>
          <w:lang w:eastAsia="en-GB"/>
        </w:rPr>
      </w:pPr>
      <w:r w:rsidRPr="00A86B21">
        <w:rPr>
          <w:sz w:val="22"/>
          <w:szCs w:val="22"/>
        </w:rPr>
        <w:t xml:space="preserve">The </w:t>
      </w:r>
      <w:r w:rsidR="004B7171" w:rsidRPr="00A86B21">
        <w:rPr>
          <w:b/>
          <w:sz w:val="22"/>
          <w:szCs w:val="22"/>
        </w:rPr>
        <w:t xml:space="preserve">Ministry of </w:t>
      </w:r>
      <w:r w:rsidR="005556C1" w:rsidRPr="00A86B21">
        <w:rPr>
          <w:b/>
          <w:sz w:val="22"/>
          <w:szCs w:val="22"/>
        </w:rPr>
        <w:t xml:space="preserve">the </w:t>
      </w:r>
      <w:r w:rsidR="004B7171" w:rsidRPr="00A86B21">
        <w:rPr>
          <w:b/>
          <w:sz w:val="22"/>
          <w:szCs w:val="22"/>
        </w:rPr>
        <w:t>Interior</w:t>
      </w:r>
      <w:r w:rsidRPr="00A86B21">
        <w:rPr>
          <w:sz w:val="22"/>
          <w:szCs w:val="22"/>
        </w:rPr>
        <w:t xml:space="preserve"> is the competent authority for issuing </w:t>
      </w:r>
      <w:r w:rsidR="004B7171" w:rsidRPr="00A86B21">
        <w:rPr>
          <w:sz w:val="22"/>
          <w:szCs w:val="22"/>
        </w:rPr>
        <w:t xml:space="preserve">the residence permit </w:t>
      </w:r>
      <w:r w:rsidR="005556C1" w:rsidRPr="00A86B21">
        <w:rPr>
          <w:sz w:val="22"/>
          <w:szCs w:val="22"/>
        </w:rPr>
        <w:t xml:space="preserve">to </w:t>
      </w:r>
      <w:r w:rsidR="004B7171" w:rsidRPr="00A86B21">
        <w:rPr>
          <w:sz w:val="22"/>
          <w:szCs w:val="22"/>
        </w:rPr>
        <w:t>third-country national</w:t>
      </w:r>
      <w:r w:rsidR="005556C1" w:rsidRPr="00A86B21">
        <w:rPr>
          <w:sz w:val="22"/>
          <w:szCs w:val="22"/>
        </w:rPr>
        <w:t>s</w:t>
      </w:r>
      <w:r w:rsidR="004B7171" w:rsidRPr="00A86B21">
        <w:rPr>
          <w:sz w:val="22"/>
          <w:szCs w:val="22"/>
        </w:rPr>
        <w:t xml:space="preserve"> </w:t>
      </w:r>
      <w:r w:rsidRPr="00A86B21">
        <w:rPr>
          <w:sz w:val="22"/>
          <w:szCs w:val="22"/>
        </w:rPr>
        <w:t xml:space="preserve">and carrying out verification checks. </w:t>
      </w:r>
      <w:r w:rsidR="005556C1" w:rsidRPr="00A86B21">
        <w:rPr>
          <w:sz w:val="22"/>
          <w:szCs w:val="22"/>
        </w:rPr>
        <w:t xml:space="preserve">The Ministry issues the respective permit </w:t>
      </w:r>
      <w:r w:rsidR="004B7171" w:rsidRPr="00A86B21">
        <w:rPr>
          <w:sz w:val="22"/>
          <w:szCs w:val="22"/>
        </w:rPr>
        <w:t xml:space="preserve">through the relevant </w:t>
      </w:r>
      <w:r w:rsidR="004B7171" w:rsidRPr="00A86B21">
        <w:rPr>
          <w:b/>
          <w:sz w:val="22"/>
          <w:szCs w:val="22"/>
        </w:rPr>
        <w:t>police administration or police station</w:t>
      </w:r>
      <w:r w:rsidR="005556C1" w:rsidRPr="00A86B21">
        <w:rPr>
          <w:b/>
          <w:sz w:val="22"/>
          <w:szCs w:val="22"/>
        </w:rPr>
        <w:t>.</w:t>
      </w:r>
      <w:r w:rsidR="004B7171" w:rsidRPr="00A86B21">
        <w:rPr>
          <w:b/>
          <w:sz w:val="22"/>
          <w:szCs w:val="22"/>
          <w:lang w:eastAsia="en-GB"/>
        </w:rPr>
        <w:t xml:space="preserve"> </w:t>
      </w:r>
    </w:p>
    <w:p w14:paraId="4D8B86AF" w14:textId="77777777" w:rsidR="00D8511D" w:rsidRPr="00A86B21" w:rsidRDefault="00D8511D" w:rsidP="00A86B21">
      <w:pPr>
        <w:pStyle w:val="MMultilevel"/>
        <w:numPr>
          <w:ilvl w:val="0"/>
          <w:numId w:val="0"/>
        </w:numPr>
        <w:rPr>
          <w:b/>
          <w:i/>
          <w:lang w:val="en-GB"/>
        </w:rPr>
      </w:pPr>
    </w:p>
    <w:p w14:paraId="26C36ABA" w14:textId="0508881C" w:rsidR="00C20061" w:rsidRPr="00A86B21" w:rsidRDefault="00745A53" w:rsidP="00A86B21">
      <w:pPr>
        <w:spacing w:after="0" w:line="240" w:lineRule="auto"/>
        <w:jc w:val="both"/>
        <w:rPr>
          <w:b/>
          <w:i/>
          <w:sz w:val="22"/>
          <w:szCs w:val="22"/>
        </w:rPr>
      </w:pPr>
      <w:r w:rsidRPr="00A86B21">
        <w:rPr>
          <w:b/>
          <w:i/>
          <w:sz w:val="22"/>
          <w:szCs w:val="22"/>
        </w:rPr>
        <w:t>Conditions and procedure</w:t>
      </w:r>
    </w:p>
    <w:p w14:paraId="5273810F" w14:textId="57B302DF" w:rsidR="00AA11E2" w:rsidRPr="00A86B21" w:rsidRDefault="00AA11E2" w:rsidP="00A86B21">
      <w:pPr>
        <w:spacing w:after="0" w:line="240" w:lineRule="auto"/>
        <w:jc w:val="both"/>
        <w:rPr>
          <w:sz w:val="22"/>
          <w:szCs w:val="22"/>
        </w:rPr>
      </w:pPr>
    </w:p>
    <w:p w14:paraId="098201DA" w14:textId="7C95573B" w:rsidR="00420784" w:rsidRPr="00A86B21" w:rsidRDefault="00420784" w:rsidP="00DA7115">
      <w:pPr>
        <w:spacing w:after="0" w:line="240" w:lineRule="auto"/>
        <w:jc w:val="both"/>
        <w:rPr>
          <w:i/>
          <w:sz w:val="22"/>
          <w:szCs w:val="22"/>
          <w:u w:val="single"/>
        </w:rPr>
      </w:pPr>
      <w:r w:rsidRPr="00A86B21">
        <w:rPr>
          <w:i/>
          <w:sz w:val="22"/>
          <w:szCs w:val="22"/>
          <w:u w:val="single"/>
        </w:rPr>
        <w:t>Conditions</w:t>
      </w:r>
    </w:p>
    <w:p w14:paraId="6D75756E" w14:textId="4019237A" w:rsidR="00AA11E2" w:rsidRPr="00A86B21" w:rsidRDefault="00AA11E2" w:rsidP="00DA7115">
      <w:pPr>
        <w:spacing w:after="0" w:line="240" w:lineRule="auto"/>
        <w:jc w:val="both"/>
        <w:rPr>
          <w:bCs/>
          <w:sz w:val="22"/>
          <w:szCs w:val="22"/>
        </w:rPr>
      </w:pPr>
      <w:r w:rsidRPr="00A86B21">
        <w:rPr>
          <w:sz w:val="22"/>
          <w:szCs w:val="22"/>
        </w:rPr>
        <w:t xml:space="preserve">In the context of this </w:t>
      </w:r>
      <w:r w:rsidR="00DA7115" w:rsidRPr="00A86B21">
        <w:rPr>
          <w:sz w:val="22"/>
          <w:szCs w:val="22"/>
        </w:rPr>
        <w:t>project,</w:t>
      </w:r>
      <w:r w:rsidRPr="00A86B21">
        <w:rPr>
          <w:sz w:val="22"/>
          <w:szCs w:val="22"/>
        </w:rPr>
        <w:t xml:space="preserve"> from the 20 categories of foreigners </w:t>
      </w:r>
      <w:r w:rsidRPr="00A86B21">
        <w:rPr>
          <w:bCs/>
          <w:sz w:val="22"/>
          <w:szCs w:val="22"/>
        </w:rPr>
        <w:t>to whom a residence and work permit outside the annual quota</w:t>
      </w:r>
      <w:r w:rsidRPr="00A86B21">
        <w:rPr>
          <w:bCs/>
          <w:sz w:val="22"/>
          <w:szCs w:val="22"/>
          <w:vertAlign w:val="superscript"/>
        </w:rPr>
        <w:footnoteReference w:id="3"/>
      </w:r>
      <w:r w:rsidR="00DA7115" w:rsidRPr="00A86B21">
        <w:rPr>
          <w:bCs/>
          <w:sz w:val="22"/>
          <w:szCs w:val="22"/>
        </w:rPr>
        <w:t xml:space="preserve"> can be issued</w:t>
      </w:r>
      <w:r w:rsidRPr="00A86B21">
        <w:rPr>
          <w:bCs/>
          <w:sz w:val="22"/>
          <w:szCs w:val="22"/>
        </w:rPr>
        <w:t>, only two are relevant to investors as they require an investment to obtain the residence and work permit:</w:t>
      </w:r>
    </w:p>
    <w:p w14:paraId="4E26E9C2" w14:textId="58CCA6E5" w:rsidR="00AA11E2" w:rsidRPr="00A86B21" w:rsidRDefault="00AA11E2" w:rsidP="00DA7115">
      <w:pPr>
        <w:numPr>
          <w:ilvl w:val="1"/>
          <w:numId w:val="1"/>
        </w:numPr>
        <w:spacing w:after="0" w:line="240" w:lineRule="auto"/>
        <w:jc w:val="both"/>
        <w:rPr>
          <w:bCs/>
          <w:sz w:val="22"/>
          <w:szCs w:val="22"/>
        </w:rPr>
      </w:pPr>
      <w:r w:rsidRPr="00A86B21">
        <w:rPr>
          <w:b/>
          <w:bCs/>
          <w:sz w:val="22"/>
          <w:szCs w:val="22"/>
        </w:rPr>
        <w:lastRenderedPageBreak/>
        <w:t>Employed investors</w:t>
      </w:r>
      <w:r w:rsidRPr="00A86B21">
        <w:rPr>
          <w:bCs/>
          <w:sz w:val="22"/>
          <w:szCs w:val="22"/>
        </w:rPr>
        <w:t>: foreigners performing key business in companies, branches and representative offices (Article 76(1)(3) Aliens Act); and</w:t>
      </w:r>
    </w:p>
    <w:p w14:paraId="138AFF6C" w14:textId="27CE45C8" w:rsidR="00AA11E2" w:rsidRPr="00A86B21" w:rsidRDefault="00AA11E2" w:rsidP="005F1CA0">
      <w:pPr>
        <w:numPr>
          <w:ilvl w:val="1"/>
          <w:numId w:val="1"/>
        </w:numPr>
        <w:spacing w:after="0" w:line="240" w:lineRule="auto"/>
        <w:jc w:val="both"/>
        <w:rPr>
          <w:bCs/>
          <w:sz w:val="22"/>
          <w:szCs w:val="22"/>
        </w:rPr>
      </w:pPr>
      <w:r w:rsidRPr="00A86B21">
        <w:rPr>
          <w:b/>
          <w:bCs/>
          <w:sz w:val="22"/>
          <w:szCs w:val="22"/>
        </w:rPr>
        <w:t>Self-employed investors</w:t>
      </w:r>
      <w:r w:rsidRPr="00A86B21">
        <w:rPr>
          <w:bCs/>
          <w:sz w:val="22"/>
          <w:szCs w:val="22"/>
        </w:rPr>
        <w:t>: foreigners who are self-employed in one of the following (Article 76(1)(5) Aliens Act):</w:t>
      </w:r>
      <w:r w:rsidR="005F1CA0" w:rsidRPr="00A86B21">
        <w:rPr>
          <w:bCs/>
          <w:sz w:val="22"/>
          <w:szCs w:val="22"/>
        </w:rPr>
        <w:t xml:space="preserve"> </w:t>
      </w:r>
      <w:r w:rsidRPr="00A86B21">
        <w:rPr>
          <w:bCs/>
          <w:sz w:val="22"/>
          <w:szCs w:val="22"/>
        </w:rPr>
        <w:t>their own company; or</w:t>
      </w:r>
      <w:r w:rsidR="005F1CA0" w:rsidRPr="00A86B21">
        <w:rPr>
          <w:bCs/>
          <w:sz w:val="22"/>
          <w:szCs w:val="22"/>
        </w:rPr>
        <w:t xml:space="preserve"> </w:t>
      </w:r>
      <w:r w:rsidRPr="00A86B21">
        <w:rPr>
          <w:bCs/>
          <w:sz w:val="22"/>
          <w:szCs w:val="22"/>
        </w:rPr>
        <w:t>a company which they do not own but in which they hold over 51% of the shares; or</w:t>
      </w:r>
      <w:r w:rsidR="005F1CA0" w:rsidRPr="00A86B21">
        <w:rPr>
          <w:bCs/>
          <w:sz w:val="22"/>
          <w:szCs w:val="22"/>
        </w:rPr>
        <w:t xml:space="preserve"> </w:t>
      </w:r>
      <w:r w:rsidRPr="00A86B21">
        <w:rPr>
          <w:bCs/>
          <w:sz w:val="22"/>
          <w:szCs w:val="22"/>
        </w:rPr>
        <w:t>their own crafts business (e.g. locksmiths, hair stylists, and carpenters)</w:t>
      </w:r>
      <w:r w:rsidR="008365FF" w:rsidRPr="00A86B21">
        <w:rPr>
          <w:bCs/>
          <w:sz w:val="22"/>
          <w:szCs w:val="22"/>
        </w:rPr>
        <w:t>.</w:t>
      </w:r>
      <w:r w:rsidR="008365FF" w:rsidRPr="00A86B21">
        <w:rPr>
          <w:rStyle w:val="FootnoteReference"/>
          <w:bCs/>
          <w:sz w:val="22"/>
          <w:szCs w:val="22"/>
        </w:rPr>
        <w:footnoteReference w:id="4"/>
      </w:r>
    </w:p>
    <w:p w14:paraId="04C4E03D" w14:textId="119E16E6" w:rsidR="00AA11E2" w:rsidRPr="00A86B21" w:rsidRDefault="00AA11E2" w:rsidP="00DA7115">
      <w:pPr>
        <w:spacing w:after="0" w:line="240" w:lineRule="auto"/>
        <w:jc w:val="both"/>
        <w:rPr>
          <w:sz w:val="22"/>
          <w:szCs w:val="22"/>
        </w:rPr>
      </w:pPr>
    </w:p>
    <w:p w14:paraId="78E11DA3" w14:textId="5980D194" w:rsidR="00AA11E2" w:rsidRPr="00A86B21" w:rsidRDefault="00AA11E2" w:rsidP="00DA7115">
      <w:pPr>
        <w:spacing w:after="0" w:line="240" w:lineRule="auto"/>
        <w:jc w:val="both"/>
        <w:rPr>
          <w:sz w:val="22"/>
          <w:szCs w:val="22"/>
        </w:rPr>
      </w:pPr>
      <w:r w:rsidRPr="00A86B21">
        <w:rPr>
          <w:sz w:val="22"/>
          <w:szCs w:val="22"/>
        </w:rPr>
        <w:t xml:space="preserve">While the investment in the capital of a company or the assets of a commanding or public company </w:t>
      </w:r>
      <w:r w:rsidR="00D33FFF" w:rsidRPr="00A86B21">
        <w:rPr>
          <w:sz w:val="22"/>
          <w:szCs w:val="22"/>
        </w:rPr>
        <w:t xml:space="preserve">carried out by </w:t>
      </w:r>
      <w:r w:rsidRPr="00A86B21">
        <w:rPr>
          <w:b/>
          <w:sz w:val="22"/>
          <w:szCs w:val="22"/>
        </w:rPr>
        <w:t>employed investors</w:t>
      </w:r>
      <w:r w:rsidRPr="00A86B21">
        <w:rPr>
          <w:sz w:val="22"/>
          <w:szCs w:val="22"/>
        </w:rPr>
        <w:t xml:space="preserve"> must be </w:t>
      </w:r>
      <w:r w:rsidR="00D33FFF" w:rsidRPr="00A86B21">
        <w:rPr>
          <w:sz w:val="22"/>
          <w:szCs w:val="22"/>
        </w:rPr>
        <w:t>of a value</w:t>
      </w:r>
      <w:r w:rsidRPr="00A86B21">
        <w:rPr>
          <w:sz w:val="22"/>
          <w:szCs w:val="22"/>
        </w:rPr>
        <w:t xml:space="preserve"> </w:t>
      </w:r>
      <w:r w:rsidRPr="00A86B21">
        <w:rPr>
          <w:b/>
          <w:sz w:val="22"/>
          <w:szCs w:val="22"/>
        </w:rPr>
        <w:t>exceed</w:t>
      </w:r>
      <w:r w:rsidR="00D33FFF" w:rsidRPr="00A86B21">
        <w:rPr>
          <w:b/>
          <w:sz w:val="22"/>
          <w:szCs w:val="22"/>
        </w:rPr>
        <w:t>ing</w:t>
      </w:r>
      <w:r w:rsidRPr="00A86B21">
        <w:rPr>
          <w:sz w:val="22"/>
          <w:szCs w:val="22"/>
        </w:rPr>
        <w:t xml:space="preserve"> </w:t>
      </w:r>
      <w:r w:rsidRPr="00A86B21">
        <w:rPr>
          <w:b/>
          <w:sz w:val="22"/>
          <w:szCs w:val="22"/>
        </w:rPr>
        <w:t xml:space="preserve">HRK 100,000 </w:t>
      </w:r>
      <w:r w:rsidRPr="00A86B21">
        <w:rPr>
          <w:sz w:val="22"/>
          <w:szCs w:val="22"/>
        </w:rPr>
        <w:t>(approximately EUR 13,500)</w:t>
      </w:r>
      <w:r w:rsidR="00D33FFF" w:rsidRPr="00A86B21">
        <w:rPr>
          <w:sz w:val="22"/>
          <w:szCs w:val="22"/>
        </w:rPr>
        <w:t>,</w:t>
      </w:r>
      <w:r w:rsidR="00D33FFF" w:rsidRPr="00A86B21">
        <w:rPr>
          <w:b/>
          <w:sz w:val="22"/>
          <w:szCs w:val="22"/>
        </w:rPr>
        <w:t xml:space="preserve"> </w:t>
      </w:r>
      <w:r w:rsidRPr="00A86B21">
        <w:rPr>
          <w:b/>
          <w:sz w:val="22"/>
          <w:szCs w:val="22"/>
        </w:rPr>
        <w:t>self-employed investors</w:t>
      </w:r>
      <w:r w:rsidRPr="00A86B21">
        <w:rPr>
          <w:sz w:val="22"/>
          <w:szCs w:val="22"/>
        </w:rPr>
        <w:t xml:space="preserve"> must </w:t>
      </w:r>
      <w:r w:rsidRPr="00A86B21">
        <w:rPr>
          <w:b/>
          <w:sz w:val="22"/>
          <w:szCs w:val="22"/>
        </w:rPr>
        <w:t>invest at least HRK 200,000</w:t>
      </w:r>
      <w:r w:rsidRPr="00A86B21">
        <w:rPr>
          <w:sz w:val="22"/>
          <w:szCs w:val="22"/>
        </w:rPr>
        <w:t xml:space="preserve"> </w:t>
      </w:r>
      <w:r w:rsidR="00DA7115" w:rsidRPr="00A86B21">
        <w:rPr>
          <w:sz w:val="22"/>
          <w:szCs w:val="22"/>
        </w:rPr>
        <w:t xml:space="preserve">(approximately EUR 27,000) </w:t>
      </w:r>
      <w:r w:rsidRPr="00A86B21">
        <w:rPr>
          <w:sz w:val="22"/>
          <w:szCs w:val="22"/>
        </w:rPr>
        <w:t>in the establishment of a company or crafts business</w:t>
      </w:r>
      <w:r w:rsidR="00D33FFF" w:rsidRPr="00A86B21">
        <w:rPr>
          <w:sz w:val="22"/>
          <w:szCs w:val="22"/>
        </w:rPr>
        <w:t>.</w:t>
      </w:r>
      <w:r w:rsidRPr="00A86B21">
        <w:rPr>
          <w:sz w:val="22"/>
          <w:szCs w:val="22"/>
          <w:vertAlign w:val="superscript"/>
        </w:rPr>
        <w:footnoteReference w:id="5"/>
      </w:r>
    </w:p>
    <w:p w14:paraId="2BDFE140" w14:textId="77777777" w:rsidR="00A1117E" w:rsidRPr="00A86B21" w:rsidRDefault="00A1117E" w:rsidP="00DA7115">
      <w:pPr>
        <w:pStyle w:val="MBT"/>
        <w:rPr>
          <w:lang w:val="en-GB"/>
        </w:rPr>
      </w:pPr>
    </w:p>
    <w:p w14:paraId="4893610A" w14:textId="4D738332" w:rsidR="00D33FFF" w:rsidRPr="00A86B21" w:rsidRDefault="00D33FFF" w:rsidP="009E7456">
      <w:pPr>
        <w:pStyle w:val="MBT"/>
        <w:rPr>
          <w:color w:val="000000"/>
          <w:lang w:val="en-GB" w:eastAsia="hr-HR"/>
        </w:rPr>
      </w:pPr>
      <w:r w:rsidRPr="00A86B21">
        <w:rPr>
          <w:color w:val="000000"/>
          <w:lang w:val="en-GB" w:eastAsia="hr-HR"/>
        </w:rPr>
        <w:t>T</w:t>
      </w:r>
      <w:r w:rsidR="00F07192" w:rsidRPr="00A86B21">
        <w:rPr>
          <w:color w:val="000000"/>
          <w:lang w:val="en-GB" w:eastAsia="hr-HR"/>
        </w:rPr>
        <w:t>o obtain a residence and work permit, foreign investor</w:t>
      </w:r>
      <w:r w:rsidR="00DA7115" w:rsidRPr="00A86B21">
        <w:rPr>
          <w:color w:val="000000"/>
          <w:lang w:val="en-GB" w:eastAsia="hr-HR"/>
        </w:rPr>
        <w:t>s</w:t>
      </w:r>
      <w:r w:rsidR="00F07192" w:rsidRPr="00A86B21">
        <w:rPr>
          <w:color w:val="000000"/>
          <w:lang w:val="en-GB" w:eastAsia="hr-HR"/>
        </w:rPr>
        <w:t xml:space="preserve"> </w:t>
      </w:r>
      <w:r w:rsidR="00DA7115" w:rsidRPr="00A86B21">
        <w:rPr>
          <w:color w:val="000000"/>
          <w:lang w:val="en-GB" w:eastAsia="hr-HR"/>
        </w:rPr>
        <w:t>must</w:t>
      </w:r>
      <w:r w:rsidR="00F07192" w:rsidRPr="00A86B21">
        <w:rPr>
          <w:color w:val="000000"/>
          <w:lang w:val="en-GB" w:eastAsia="hr-HR"/>
        </w:rPr>
        <w:t xml:space="preserve"> meet </w:t>
      </w:r>
      <w:r w:rsidR="00F07192" w:rsidRPr="00A86B21">
        <w:rPr>
          <w:b/>
          <w:color w:val="000000"/>
          <w:lang w:val="en-GB" w:eastAsia="hr-HR"/>
        </w:rPr>
        <w:t>general and specific requirements</w:t>
      </w:r>
      <w:r w:rsidR="00F07192" w:rsidRPr="00A86B21">
        <w:rPr>
          <w:color w:val="000000"/>
          <w:lang w:val="en-GB" w:eastAsia="hr-HR"/>
        </w:rPr>
        <w:t xml:space="preserve">. </w:t>
      </w:r>
      <w:r w:rsidRPr="00A86B21">
        <w:rPr>
          <w:lang w:val="en-GB" w:eastAsia="hr-HR"/>
        </w:rPr>
        <w:t xml:space="preserve">Under </w:t>
      </w:r>
      <w:r w:rsidRPr="00A86B21">
        <w:rPr>
          <w:b/>
          <w:lang w:val="en-GB" w:eastAsia="hr-HR"/>
        </w:rPr>
        <w:t>general conditions</w:t>
      </w:r>
      <w:r w:rsidRPr="00A86B21">
        <w:rPr>
          <w:lang w:val="en-GB" w:eastAsia="hr-HR"/>
        </w:rPr>
        <w:t xml:space="preserve"> </w:t>
      </w:r>
      <w:r w:rsidRPr="00A86B21">
        <w:rPr>
          <w:b/>
          <w:lang w:val="en-GB" w:eastAsia="hr-HR"/>
        </w:rPr>
        <w:t>applicable to all third-country nationals</w:t>
      </w:r>
      <w:r w:rsidRPr="00A86B21">
        <w:rPr>
          <w:lang w:val="en-GB" w:eastAsia="hr-HR"/>
        </w:rPr>
        <w:t xml:space="preserve"> who apply for a temporary residence and work permit, </w:t>
      </w:r>
      <w:r w:rsidRPr="00A86B21">
        <w:rPr>
          <w:b/>
          <w:lang w:val="en-GB"/>
        </w:rPr>
        <w:t>Article 54</w:t>
      </w:r>
      <w:r w:rsidRPr="00A86B21">
        <w:rPr>
          <w:lang w:val="en-GB"/>
        </w:rPr>
        <w:t xml:space="preserve"> of the Aliens Act </w:t>
      </w:r>
      <w:r w:rsidRPr="00A86B21">
        <w:rPr>
          <w:color w:val="000000"/>
          <w:lang w:val="en-GB" w:eastAsia="hr-HR"/>
        </w:rPr>
        <w:t>stipulates that third-country national</w:t>
      </w:r>
      <w:r w:rsidR="009E7456" w:rsidRPr="00A86B21">
        <w:rPr>
          <w:color w:val="000000"/>
          <w:lang w:val="en-GB" w:eastAsia="hr-HR"/>
        </w:rPr>
        <w:t>s</w:t>
      </w:r>
      <w:r w:rsidRPr="00A86B21">
        <w:rPr>
          <w:color w:val="000000"/>
          <w:lang w:val="en-GB" w:eastAsia="hr-HR"/>
        </w:rPr>
        <w:t xml:space="preserve"> must: demonstrate the </w:t>
      </w:r>
      <w:r w:rsidRPr="00A86B21">
        <w:rPr>
          <w:b/>
          <w:color w:val="000000"/>
          <w:lang w:val="en-GB" w:eastAsia="hr-HR"/>
        </w:rPr>
        <w:t>purpose of temporary stay</w:t>
      </w:r>
      <w:r w:rsidR="009E7456" w:rsidRPr="00A86B21">
        <w:rPr>
          <w:color w:val="000000"/>
          <w:lang w:val="en-GB" w:eastAsia="hr-HR"/>
        </w:rPr>
        <w:t xml:space="preserve">; </w:t>
      </w:r>
      <w:r w:rsidRPr="00A86B21">
        <w:rPr>
          <w:lang w:val="en-GB"/>
        </w:rPr>
        <w:t xml:space="preserve">hold </w:t>
      </w:r>
      <w:r w:rsidRPr="00A86B21">
        <w:rPr>
          <w:b/>
          <w:lang w:val="en-GB"/>
        </w:rPr>
        <w:t>a valid travel document</w:t>
      </w:r>
      <w:r w:rsidR="009E7456" w:rsidRPr="00A86B21">
        <w:rPr>
          <w:lang w:val="en-GB"/>
        </w:rPr>
        <w:t>;</w:t>
      </w:r>
      <w:r w:rsidRPr="00A86B21">
        <w:rPr>
          <w:lang w:val="en-GB"/>
        </w:rPr>
        <w:t xml:space="preserve"> </w:t>
      </w:r>
      <w:r w:rsidRPr="00A86B21">
        <w:rPr>
          <w:lang w:val="en-GB" w:eastAsia="hr-HR"/>
        </w:rPr>
        <w:t xml:space="preserve">have </w:t>
      </w:r>
      <w:r w:rsidRPr="00A86B21">
        <w:rPr>
          <w:b/>
          <w:lang w:val="en-GB" w:eastAsia="hr-HR"/>
        </w:rPr>
        <w:t>sufficient subsistence funds</w:t>
      </w:r>
      <w:r w:rsidR="009E7456" w:rsidRPr="00A86B21">
        <w:rPr>
          <w:lang w:val="en-GB" w:eastAsia="hr-HR"/>
        </w:rPr>
        <w:t>;</w:t>
      </w:r>
      <w:r w:rsidR="009E7456" w:rsidRPr="00A86B21">
        <w:rPr>
          <w:lang w:val="en-GB"/>
        </w:rPr>
        <w:t xml:space="preserve"> have </w:t>
      </w:r>
      <w:r w:rsidRPr="00A86B21">
        <w:rPr>
          <w:b/>
          <w:lang w:val="en-GB"/>
        </w:rPr>
        <w:t>sickness insurance</w:t>
      </w:r>
      <w:r w:rsidR="009E7456" w:rsidRPr="00A86B21">
        <w:rPr>
          <w:lang w:val="en-GB"/>
        </w:rPr>
        <w:t>;</w:t>
      </w:r>
      <w:r w:rsidRPr="00A86B21">
        <w:rPr>
          <w:lang w:val="en-GB"/>
        </w:rPr>
        <w:t xml:space="preserve"> </w:t>
      </w:r>
      <w:r w:rsidRPr="00A86B21">
        <w:rPr>
          <w:b/>
          <w:lang w:val="en-GB"/>
        </w:rPr>
        <w:t xml:space="preserve">not be prohibited </w:t>
      </w:r>
      <w:r w:rsidR="009E7456" w:rsidRPr="00A86B21">
        <w:rPr>
          <w:b/>
          <w:lang w:val="en-GB"/>
        </w:rPr>
        <w:t>from entering and staying</w:t>
      </w:r>
      <w:r w:rsidRPr="00A86B21">
        <w:rPr>
          <w:b/>
          <w:lang w:val="en-GB"/>
        </w:rPr>
        <w:t xml:space="preserve"> in</w:t>
      </w:r>
      <w:r w:rsidRPr="00A86B21">
        <w:rPr>
          <w:lang w:val="en-GB"/>
        </w:rPr>
        <w:t xml:space="preserve"> Croatia</w:t>
      </w:r>
      <w:r w:rsidR="009E7456" w:rsidRPr="00A86B21">
        <w:rPr>
          <w:lang w:val="en-GB"/>
        </w:rPr>
        <w:t>;</w:t>
      </w:r>
      <w:r w:rsidRPr="00A86B21">
        <w:rPr>
          <w:lang w:val="en-GB"/>
        </w:rPr>
        <w:t xml:space="preserve"> </w:t>
      </w:r>
      <w:r w:rsidRPr="00A86B21">
        <w:rPr>
          <w:b/>
          <w:lang w:val="en-GB" w:eastAsia="hr-HR"/>
        </w:rPr>
        <w:t>not pose a threat to public policy, national security or public health</w:t>
      </w:r>
      <w:r w:rsidRPr="00A86B21">
        <w:rPr>
          <w:lang w:val="en-GB" w:eastAsia="hr-HR"/>
        </w:rPr>
        <w:t xml:space="preserve">. </w:t>
      </w:r>
    </w:p>
    <w:p w14:paraId="1B985D15" w14:textId="77777777" w:rsidR="00F07192" w:rsidRPr="00A86B21" w:rsidRDefault="00F07192" w:rsidP="00DA7115">
      <w:pPr>
        <w:pStyle w:val="MMultilevel"/>
        <w:numPr>
          <w:ilvl w:val="0"/>
          <w:numId w:val="0"/>
        </w:numPr>
        <w:ind w:left="425" w:hanging="425"/>
        <w:rPr>
          <w:lang w:val="en-GB" w:eastAsia="hr-HR"/>
        </w:rPr>
      </w:pPr>
    </w:p>
    <w:p w14:paraId="701FD03E" w14:textId="25B5469D" w:rsidR="00F07192" w:rsidRPr="00A86B21" w:rsidRDefault="00F07192" w:rsidP="00DA7115">
      <w:pPr>
        <w:pStyle w:val="MMultilevel"/>
        <w:numPr>
          <w:ilvl w:val="0"/>
          <w:numId w:val="0"/>
        </w:numPr>
        <w:rPr>
          <w:lang w:val="en-GB"/>
        </w:rPr>
      </w:pPr>
      <w:r w:rsidRPr="00A86B21">
        <w:rPr>
          <w:lang w:val="en-GB" w:eastAsia="hr-HR"/>
        </w:rPr>
        <w:t xml:space="preserve">To apply for a residence and work permit, </w:t>
      </w:r>
      <w:r w:rsidRPr="00A86B21">
        <w:rPr>
          <w:b/>
          <w:lang w:val="en-GB" w:eastAsia="hr-HR"/>
        </w:rPr>
        <w:t>all foreign investors, whether employed or self-employed,</w:t>
      </w:r>
      <w:r w:rsidRPr="00A86B21">
        <w:rPr>
          <w:lang w:val="en-GB" w:eastAsia="hr-HR"/>
        </w:rPr>
        <w:t xml:space="preserve"> must meet the following conditions and supply the necessary documentation to support their application: </w:t>
      </w:r>
    </w:p>
    <w:p w14:paraId="0351B0B8" w14:textId="726E7CBD" w:rsidR="00F07192" w:rsidRPr="00A86B21" w:rsidRDefault="00B3648E" w:rsidP="00DA7115">
      <w:pPr>
        <w:pStyle w:val="MMultilevel"/>
        <w:numPr>
          <w:ilvl w:val="1"/>
          <w:numId w:val="1"/>
        </w:numPr>
        <w:rPr>
          <w:lang w:val="en-GB"/>
        </w:rPr>
      </w:pPr>
      <w:r w:rsidRPr="00A86B21">
        <w:rPr>
          <w:lang w:val="en-GB" w:eastAsia="hr-HR"/>
        </w:rPr>
        <w:t>A</w:t>
      </w:r>
      <w:r w:rsidR="00F07192" w:rsidRPr="00A86B21">
        <w:rPr>
          <w:lang w:val="en-GB" w:eastAsia="hr-HR"/>
        </w:rPr>
        <w:t>t least three Croatian nationals are employed</w:t>
      </w:r>
      <w:r w:rsidR="009E7456" w:rsidRPr="00A86B21">
        <w:rPr>
          <w:lang w:val="en-GB" w:eastAsia="hr-HR"/>
        </w:rPr>
        <w:t>.</w:t>
      </w:r>
      <w:r w:rsidR="00A04F14" w:rsidRPr="00A86B21">
        <w:rPr>
          <w:rStyle w:val="FootnoteReference"/>
          <w:lang w:val="en-GB" w:eastAsia="hr-HR"/>
        </w:rPr>
        <w:footnoteReference w:id="6"/>
      </w:r>
      <w:r w:rsidR="00F07192" w:rsidRPr="00A86B21">
        <w:rPr>
          <w:lang w:val="en-GB" w:eastAsia="hr-HR"/>
        </w:rPr>
        <w:t xml:space="preserve"> This must be demonstrated by copies of employment contracts and copies of the applications for pension and health insurance for these Croatian employees;</w:t>
      </w:r>
    </w:p>
    <w:p w14:paraId="6BB449C3" w14:textId="1331E89B" w:rsidR="00F07192" w:rsidRPr="00A86B21" w:rsidRDefault="00B3648E" w:rsidP="009E7456">
      <w:pPr>
        <w:pStyle w:val="MMultilevel"/>
        <w:numPr>
          <w:ilvl w:val="1"/>
          <w:numId w:val="1"/>
        </w:numPr>
        <w:rPr>
          <w:lang w:val="en-GB"/>
        </w:rPr>
      </w:pPr>
      <w:r w:rsidRPr="00A86B21">
        <w:rPr>
          <w:lang w:val="en-GB"/>
        </w:rPr>
        <w:t>T</w:t>
      </w:r>
      <w:r w:rsidR="00F07192" w:rsidRPr="00A86B21">
        <w:rPr>
          <w:lang w:val="en-GB"/>
        </w:rPr>
        <w:t>he</w:t>
      </w:r>
      <w:r w:rsidR="009E7456" w:rsidRPr="00A86B21">
        <w:rPr>
          <w:lang w:val="en-GB"/>
        </w:rPr>
        <w:t xml:space="preserve"> foreign investor’s</w:t>
      </w:r>
      <w:r w:rsidR="00F07192" w:rsidRPr="00A86B21">
        <w:rPr>
          <w:lang w:val="en-GB"/>
        </w:rPr>
        <w:t xml:space="preserve"> monthly gross salary must be at least at the level of the average monthly gross salary in Croatia according to the last published official data of the competent statistical authority</w:t>
      </w:r>
      <w:r w:rsidR="00F07192" w:rsidRPr="00A86B21">
        <w:rPr>
          <w:lang w:val="en-GB" w:eastAsia="hr-HR"/>
        </w:rPr>
        <w:t>, except in the case of self-employed investors in their own craft business, who must prove the amount earned is at least the average monthly net salary in Croatia according to the latest officially published data of the competent statistical authority;</w:t>
      </w:r>
    </w:p>
    <w:p w14:paraId="77B724E2" w14:textId="4CE89A51" w:rsidR="00F07192" w:rsidRPr="00A86B21" w:rsidRDefault="00B3648E" w:rsidP="00DA7115">
      <w:pPr>
        <w:pStyle w:val="ListParagraph"/>
        <w:numPr>
          <w:ilvl w:val="1"/>
          <w:numId w:val="1"/>
        </w:numPr>
        <w:spacing w:after="0" w:line="240" w:lineRule="auto"/>
        <w:jc w:val="both"/>
        <w:rPr>
          <w:sz w:val="22"/>
          <w:szCs w:val="22"/>
          <w:lang w:eastAsia="hr-HR"/>
        </w:rPr>
      </w:pPr>
      <w:r w:rsidRPr="00A86B21">
        <w:rPr>
          <w:sz w:val="22"/>
          <w:szCs w:val="22"/>
          <w:lang w:eastAsia="hr-HR"/>
        </w:rPr>
        <w:t>E</w:t>
      </w:r>
      <w:r w:rsidR="00F07192" w:rsidRPr="00A86B21">
        <w:rPr>
          <w:sz w:val="22"/>
          <w:szCs w:val="22"/>
          <w:lang w:eastAsia="hr-HR"/>
        </w:rPr>
        <w:t>vidence of their acquired qualifications and skills (e.g. diplomas, professional qua</w:t>
      </w:r>
      <w:r w:rsidR="009E08E8" w:rsidRPr="00A86B21">
        <w:rPr>
          <w:sz w:val="22"/>
          <w:szCs w:val="22"/>
          <w:lang w:eastAsia="hr-HR"/>
        </w:rPr>
        <w:t>lifications certificates, etc.);</w:t>
      </w:r>
    </w:p>
    <w:p w14:paraId="217ACBF7" w14:textId="2CB5423C" w:rsidR="00F07192" w:rsidRPr="00A86B21" w:rsidRDefault="00B3648E" w:rsidP="00DA7115">
      <w:pPr>
        <w:pStyle w:val="MMultilevel"/>
        <w:numPr>
          <w:ilvl w:val="1"/>
          <w:numId w:val="1"/>
        </w:numPr>
        <w:rPr>
          <w:lang w:val="en-GB"/>
        </w:rPr>
      </w:pPr>
      <w:r w:rsidRPr="00A86B21">
        <w:rPr>
          <w:lang w:val="en-GB" w:eastAsia="hr-HR"/>
        </w:rPr>
        <w:t>P</w:t>
      </w:r>
      <w:r w:rsidR="009E08E8" w:rsidRPr="00A86B21">
        <w:rPr>
          <w:lang w:val="en-GB" w:eastAsia="hr-HR"/>
        </w:rPr>
        <w:t>roof of registration of a company, branch office, representative office, craft, association or institution in the Republic of Croatia (e.g. document from the Court Register which in Croatia is in charge of running the company register or of the Crafts Register).</w:t>
      </w:r>
    </w:p>
    <w:p w14:paraId="0405F310" w14:textId="77777777" w:rsidR="009E08E8" w:rsidRPr="00A86B21" w:rsidRDefault="009E08E8" w:rsidP="00DA7115">
      <w:pPr>
        <w:pStyle w:val="MMultilevel"/>
        <w:numPr>
          <w:ilvl w:val="0"/>
          <w:numId w:val="0"/>
        </w:numPr>
        <w:ind w:left="851"/>
        <w:rPr>
          <w:lang w:val="en-GB"/>
        </w:rPr>
      </w:pPr>
    </w:p>
    <w:p w14:paraId="76AACDCA" w14:textId="3B13F758" w:rsidR="00D33FFF" w:rsidRPr="00A86B21" w:rsidRDefault="00D33FFF" w:rsidP="00DA7115">
      <w:pPr>
        <w:spacing w:after="0" w:line="240" w:lineRule="auto"/>
        <w:jc w:val="both"/>
        <w:textAlignment w:val="top"/>
        <w:rPr>
          <w:sz w:val="22"/>
          <w:szCs w:val="22"/>
          <w:lang w:eastAsia="hr-HR"/>
        </w:rPr>
      </w:pPr>
      <w:r w:rsidRPr="00A86B21">
        <w:rPr>
          <w:sz w:val="22"/>
          <w:szCs w:val="22"/>
          <w:lang w:eastAsia="hr-HR"/>
        </w:rPr>
        <w:t xml:space="preserve">Regarding </w:t>
      </w:r>
      <w:r w:rsidRPr="00A86B21">
        <w:rPr>
          <w:b/>
          <w:sz w:val="22"/>
          <w:szCs w:val="22"/>
          <w:lang w:eastAsia="hr-HR"/>
        </w:rPr>
        <w:t>specific conditions</w:t>
      </w:r>
      <w:r w:rsidRPr="00A86B21">
        <w:rPr>
          <w:sz w:val="22"/>
          <w:szCs w:val="22"/>
          <w:lang w:eastAsia="hr-HR"/>
        </w:rPr>
        <w:t xml:space="preserve"> applicable to </w:t>
      </w:r>
      <w:r w:rsidRPr="00A86B21">
        <w:rPr>
          <w:b/>
          <w:sz w:val="22"/>
          <w:szCs w:val="22"/>
          <w:lang w:eastAsia="hr-HR"/>
        </w:rPr>
        <w:t>employed investors</w:t>
      </w:r>
      <w:r w:rsidRPr="00A86B21">
        <w:rPr>
          <w:sz w:val="22"/>
          <w:szCs w:val="22"/>
          <w:lang w:eastAsia="hr-HR"/>
        </w:rPr>
        <w:t xml:space="preserve">, apart from carrying out the mentioned investment, </w:t>
      </w:r>
      <w:r w:rsidRPr="00A86B21">
        <w:rPr>
          <w:rFonts w:eastAsia="Times New Roman"/>
          <w:sz w:val="22"/>
          <w:szCs w:val="22"/>
          <w:lang w:eastAsia="hr-HR"/>
        </w:rPr>
        <w:t xml:space="preserve">if </w:t>
      </w:r>
      <w:r w:rsidRPr="00A86B21">
        <w:rPr>
          <w:rFonts w:eastAsia="Times New Roman"/>
          <w:b/>
          <w:sz w:val="22"/>
          <w:szCs w:val="22"/>
          <w:lang w:eastAsia="hr-HR"/>
        </w:rPr>
        <w:t>more than one foreigner</w:t>
      </w:r>
      <w:r w:rsidRPr="00A86B21">
        <w:rPr>
          <w:rFonts w:eastAsia="Times New Roman"/>
          <w:sz w:val="22"/>
          <w:szCs w:val="22"/>
          <w:lang w:eastAsia="hr-HR"/>
        </w:rPr>
        <w:t xml:space="preserve"> carries out key tasks for the same employer, the requirement on the number of employed Croatian nationals is raised to at least </w:t>
      </w:r>
      <w:r w:rsidRPr="00A86B21">
        <w:rPr>
          <w:rFonts w:eastAsia="Times New Roman"/>
          <w:b/>
          <w:sz w:val="22"/>
          <w:szCs w:val="22"/>
          <w:lang w:eastAsia="hr-HR"/>
        </w:rPr>
        <w:t>five</w:t>
      </w:r>
      <w:r w:rsidRPr="00A86B21">
        <w:rPr>
          <w:rFonts w:eastAsia="Times New Roman"/>
          <w:sz w:val="22"/>
          <w:szCs w:val="22"/>
          <w:lang w:eastAsia="hr-HR"/>
        </w:rPr>
        <w:t xml:space="preserve"> (Article 78(2) Aliens </w:t>
      </w:r>
      <w:r w:rsidRPr="00A86B21">
        <w:rPr>
          <w:rFonts w:eastAsia="Times New Roman"/>
          <w:sz w:val="22"/>
          <w:szCs w:val="22"/>
          <w:lang w:eastAsia="hr-HR"/>
        </w:rPr>
        <w:lastRenderedPageBreak/>
        <w:t>Act).</w:t>
      </w:r>
      <w:r w:rsidRPr="00A86B21">
        <w:rPr>
          <w:sz w:val="22"/>
          <w:szCs w:val="22"/>
          <w:lang w:eastAsia="hr-HR"/>
        </w:rPr>
        <w:t xml:space="preserve"> </w:t>
      </w:r>
      <w:r w:rsidRPr="00A86B21">
        <w:rPr>
          <w:rFonts w:eastAsia="Times New Roman"/>
          <w:sz w:val="22"/>
          <w:szCs w:val="22"/>
          <w:lang w:eastAsia="hr-HR"/>
        </w:rPr>
        <w:t>Furthermore, employed investors must provide the following documentation together with the application for a residence and work permit (Article 77(1) of the Aliens Act):</w:t>
      </w:r>
    </w:p>
    <w:p w14:paraId="11A5A39D" w14:textId="77777777" w:rsidR="00D33FFF" w:rsidRPr="00A86B21" w:rsidRDefault="00D33FFF" w:rsidP="00DA7115">
      <w:pPr>
        <w:numPr>
          <w:ilvl w:val="1"/>
          <w:numId w:val="34"/>
        </w:numPr>
        <w:spacing w:after="0" w:line="240" w:lineRule="auto"/>
        <w:ind w:left="709" w:hanging="283"/>
        <w:contextualSpacing/>
        <w:jc w:val="both"/>
        <w:textAlignment w:val="top"/>
        <w:rPr>
          <w:rFonts w:eastAsia="Times New Roman"/>
          <w:sz w:val="22"/>
          <w:szCs w:val="22"/>
          <w:lang w:eastAsia="hr-HR"/>
        </w:rPr>
      </w:pPr>
      <w:r w:rsidRPr="00A86B21">
        <w:rPr>
          <w:rFonts w:eastAsia="Times New Roman"/>
          <w:b/>
          <w:sz w:val="22"/>
          <w:szCs w:val="22"/>
          <w:lang w:eastAsia="hr-HR"/>
        </w:rPr>
        <w:t xml:space="preserve">a work contract, or a written confirmation of a concluded work contract or other appropriate contract </w:t>
      </w:r>
      <w:r w:rsidRPr="00A86B21">
        <w:rPr>
          <w:rFonts w:eastAsia="Times New Roman"/>
          <w:sz w:val="22"/>
          <w:szCs w:val="22"/>
          <w:lang w:eastAsia="hr-HR"/>
        </w:rPr>
        <w:t>(which proves that the foreign investor is employed),</w:t>
      </w:r>
    </w:p>
    <w:p w14:paraId="1A8280CD" w14:textId="77777777" w:rsidR="00D33FFF" w:rsidRPr="00A86B21" w:rsidRDefault="00D33FFF" w:rsidP="00DA7115">
      <w:pPr>
        <w:numPr>
          <w:ilvl w:val="1"/>
          <w:numId w:val="34"/>
        </w:numPr>
        <w:spacing w:after="0" w:line="240" w:lineRule="auto"/>
        <w:ind w:left="709" w:hanging="283"/>
        <w:contextualSpacing/>
        <w:jc w:val="both"/>
        <w:textAlignment w:val="top"/>
        <w:rPr>
          <w:rFonts w:eastAsia="Times New Roman"/>
          <w:sz w:val="22"/>
          <w:szCs w:val="22"/>
          <w:lang w:eastAsia="hr-HR"/>
        </w:rPr>
      </w:pPr>
      <w:r w:rsidRPr="00A86B21">
        <w:rPr>
          <w:rFonts w:eastAsia="Times New Roman"/>
          <w:b/>
          <w:sz w:val="22"/>
          <w:szCs w:val="22"/>
          <w:lang w:eastAsia="hr-HR"/>
        </w:rPr>
        <w:t>a justification for employing the foreign investor</w:t>
      </w:r>
      <w:r w:rsidRPr="00A86B21">
        <w:rPr>
          <w:rFonts w:eastAsia="Times New Roman"/>
          <w:sz w:val="22"/>
          <w:szCs w:val="22"/>
          <w:lang w:eastAsia="hr-HR"/>
        </w:rPr>
        <w:t xml:space="preserve"> instead of Croatian citizens, which contains information on foreign language skills, qualifications and work experience, and why the job cannot be filled from the Croatian labour market.</w:t>
      </w:r>
    </w:p>
    <w:p w14:paraId="436C9DA8" w14:textId="77777777" w:rsidR="00D33FFF" w:rsidRPr="00A86B21" w:rsidRDefault="00D33FFF" w:rsidP="00DA7115">
      <w:pPr>
        <w:spacing w:after="0" w:line="240" w:lineRule="auto"/>
        <w:jc w:val="both"/>
        <w:textAlignment w:val="top"/>
        <w:rPr>
          <w:sz w:val="22"/>
          <w:szCs w:val="22"/>
          <w:lang w:eastAsia="hr-HR"/>
        </w:rPr>
      </w:pPr>
    </w:p>
    <w:p w14:paraId="6D3B9A21" w14:textId="2299498F" w:rsidR="009E08E8" w:rsidRPr="00A86B21" w:rsidRDefault="00D33FFF" w:rsidP="00DA7115">
      <w:pPr>
        <w:spacing w:after="0" w:line="240" w:lineRule="auto"/>
        <w:jc w:val="both"/>
        <w:textAlignment w:val="top"/>
        <w:rPr>
          <w:sz w:val="22"/>
          <w:szCs w:val="22"/>
          <w:lang w:eastAsia="hr-HR"/>
        </w:rPr>
      </w:pPr>
      <w:r w:rsidRPr="00A86B21">
        <w:rPr>
          <w:sz w:val="22"/>
          <w:szCs w:val="22"/>
          <w:lang w:eastAsia="hr-HR"/>
        </w:rPr>
        <w:t xml:space="preserve">Regarding </w:t>
      </w:r>
      <w:r w:rsidRPr="00A86B21">
        <w:rPr>
          <w:b/>
          <w:sz w:val="22"/>
          <w:szCs w:val="22"/>
          <w:lang w:eastAsia="hr-HR"/>
        </w:rPr>
        <w:t>specific conditions</w:t>
      </w:r>
      <w:r w:rsidR="009E08E8" w:rsidRPr="00A86B21">
        <w:rPr>
          <w:sz w:val="22"/>
          <w:szCs w:val="22"/>
          <w:lang w:eastAsia="hr-HR"/>
        </w:rPr>
        <w:t xml:space="preserve"> applicable to </w:t>
      </w:r>
      <w:r w:rsidR="009E08E8" w:rsidRPr="00A86B21">
        <w:rPr>
          <w:b/>
          <w:sz w:val="22"/>
          <w:szCs w:val="22"/>
          <w:lang w:eastAsia="hr-HR"/>
        </w:rPr>
        <w:t>all self-employed investors</w:t>
      </w:r>
      <w:r w:rsidR="009E08E8" w:rsidRPr="00A86B21">
        <w:rPr>
          <w:sz w:val="22"/>
          <w:szCs w:val="22"/>
          <w:lang w:eastAsia="hr-HR"/>
        </w:rPr>
        <w:t>, regardless of whether they are self-employed in their own business, in a company in which they own more than 51% of the shares or in their own crafts business:</w:t>
      </w:r>
    </w:p>
    <w:p w14:paraId="1B86A4FF" w14:textId="6A5ED679" w:rsidR="002A01E9" w:rsidRPr="00A86B21" w:rsidRDefault="009E08E8" w:rsidP="00DA7115">
      <w:pPr>
        <w:pStyle w:val="ListParagraph"/>
        <w:numPr>
          <w:ilvl w:val="1"/>
          <w:numId w:val="1"/>
        </w:numPr>
        <w:spacing w:after="0" w:line="240" w:lineRule="auto"/>
        <w:jc w:val="both"/>
        <w:rPr>
          <w:sz w:val="22"/>
          <w:szCs w:val="22"/>
          <w:lang w:eastAsia="hr-HR"/>
        </w:rPr>
      </w:pPr>
      <w:r w:rsidRPr="00A86B21">
        <w:rPr>
          <w:sz w:val="22"/>
          <w:szCs w:val="22"/>
        </w:rPr>
        <w:t xml:space="preserve">Self-employed investors must </w:t>
      </w:r>
      <w:r w:rsidR="00D33FFF" w:rsidRPr="00A86B21">
        <w:rPr>
          <w:sz w:val="22"/>
          <w:szCs w:val="22"/>
        </w:rPr>
        <w:t xml:space="preserve">accompany the residence permit application </w:t>
      </w:r>
      <w:r w:rsidR="009E7456" w:rsidRPr="00A86B21">
        <w:rPr>
          <w:sz w:val="22"/>
          <w:szCs w:val="22"/>
        </w:rPr>
        <w:t>with a</w:t>
      </w:r>
      <w:r w:rsidRPr="00A86B21">
        <w:rPr>
          <w:sz w:val="22"/>
          <w:szCs w:val="22"/>
        </w:rPr>
        <w:t xml:space="preserve"> description of the investment in tangible or intangible assets of any of the following kind:</w:t>
      </w:r>
    </w:p>
    <w:p w14:paraId="3D64C8FE" w14:textId="77777777" w:rsidR="002A01E9" w:rsidRPr="00A86B21" w:rsidRDefault="009E08E8" w:rsidP="00DA7115">
      <w:pPr>
        <w:pStyle w:val="ListParagraph"/>
        <w:numPr>
          <w:ilvl w:val="0"/>
          <w:numId w:val="29"/>
        </w:numPr>
        <w:spacing w:after="0" w:line="240" w:lineRule="auto"/>
        <w:jc w:val="both"/>
        <w:rPr>
          <w:sz w:val="22"/>
          <w:szCs w:val="22"/>
          <w:lang w:eastAsia="hr-HR"/>
        </w:rPr>
      </w:pPr>
      <w:r w:rsidRPr="00A86B21">
        <w:rPr>
          <w:sz w:val="22"/>
          <w:szCs w:val="22"/>
        </w:rPr>
        <w:t>tangible assets: the value of real estate/buildings and equipment/machinery, of which the value of the real estate may amount up to 50% of the total value of the material property</w:t>
      </w:r>
      <w:r w:rsidR="002A01E9" w:rsidRPr="00A86B21">
        <w:rPr>
          <w:sz w:val="22"/>
          <w:szCs w:val="22"/>
        </w:rPr>
        <w:t>;</w:t>
      </w:r>
    </w:p>
    <w:p w14:paraId="71B7A843" w14:textId="257BAD79" w:rsidR="002A01E9" w:rsidRPr="00A86B21" w:rsidRDefault="009E08E8" w:rsidP="00DA7115">
      <w:pPr>
        <w:pStyle w:val="ListParagraph"/>
        <w:numPr>
          <w:ilvl w:val="0"/>
          <w:numId w:val="29"/>
        </w:numPr>
        <w:spacing w:after="0" w:line="240" w:lineRule="auto"/>
        <w:jc w:val="both"/>
        <w:rPr>
          <w:sz w:val="22"/>
          <w:szCs w:val="22"/>
          <w:lang w:eastAsia="hr-HR"/>
        </w:rPr>
      </w:pPr>
      <w:r w:rsidRPr="00A86B21">
        <w:rPr>
          <w:sz w:val="22"/>
          <w:szCs w:val="22"/>
        </w:rPr>
        <w:t>intangible assets, i.e. eligible investment costs, may include certain categories of non-mate</w:t>
      </w:r>
      <w:r w:rsidR="004735D5" w:rsidRPr="00A86B21">
        <w:rPr>
          <w:sz w:val="22"/>
          <w:szCs w:val="22"/>
        </w:rPr>
        <w:t>rial investment (patents, licenc</w:t>
      </w:r>
      <w:r w:rsidRPr="00A86B21">
        <w:rPr>
          <w:sz w:val="22"/>
          <w:szCs w:val="22"/>
        </w:rPr>
        <w:t>es, know-how, etc.)</w:t>
      </w:r>
      <w:r w:rsidR="002A01E9" w:rsidRPr="00A86B21">
        <w:rPr>
          <w:sz w:val="22"/>
          <w:szCs w:val="22"/>
        </w:rPr>
        <w:t>;</w:t>
      </w:r>
    </w:p>
    <w:p w14:paraId="045F0712" w14:textId="629D029E" w:rsidR="009E08E8" w:rsidRPr="00A86B21" w:rsidRDefault="009E08E8" w:rsidP="004735D5">
      <w:pPr>
        <w:pStyle w:val="ListParagraph"/>
        <w:numPr>
          <w:ilvl w:val="0"/>
          <w:numId w:val="29"/>
        </w:numPr>
        <w:spacing w:after="0" w:line="240" w:lineRule="auto"/>
        <w:jc w:val="both"/>
        <w:rPr>
          <w:sz w:val="22"/>
          <w:szCs w:val="22"/>
          <w:lang w:eastAsia="hr-HR"/>
        </w:rPr>
      </w:pPr>
      <w:r w:rsidRPr="00A86B21">
        <w:rPr>
          <w:sz w:val="22"/>
          <w:szCs w:val="22"/>
        </w:rPr>
        <w:t>intangible assets that represent investment costs and meet the following conditions:</w:t>
      </w:r>
      <w:r w:rsidR="004735D5" w:rsidRPr="00A86B21">
        <w:rPr>
          <w:sz w:val="22"/>
          <w:szCs w:val="22"/>
        </w:rPr>
        <w:t xml:space="preserve"> </w:t>
      </w:r>
      <w:r w:rsidRPr="00A86B21">
        <w:rPr>
          <w:sz w:val="22"/>
          <w:szCs w:val="22"/>
        </w:rPr>
        <w:t>are used exclusively in the company or crafts business</w:t>
      </w:r>
      <w:r w:rsidR="002A01E9" w:rsidRPr="00A86B21">
        <w:rPr>
          <w:sz w:val="22"/>
          <w:szCs w:val="22"/>
        </w:rPr>
        <w:t>;</w:t>
      </w:r>
      <w:r w:rsidR="004735D5" w:rsidRPr="00A86B21">
        <w:rPr>
          <w:sz w:val="22"/>
          <w:szCs w:val="22"/>
        </w:rPr>
        <w:t xml:space="preserve"> are considered</w:t>
      </w:r>
      <w:r w:rsidRPr="00A86B21">
        <w:rPr>
          <w:sz w:val="22"/>
          <w:szCs w:val="22"/>
        </w:rPr>
        <w:t xml:space="preserve"> an asset with a write-off possibility (depreciable asset)</w:t>
      </w:r>
      <w:r w:rsidR="002A01E9" w:rsidRPr="00A86B21">
        <w:rPr>
          <w:sz w:val="22"/>
          <w:szCs w:val="22"/>
        </w:rPr>
        <w:t>;</w:t>
      </w:r>
      <w:r w:rsidR="004735D5" w:rsidRPr="00A86B21">
        <w:rPr>
          <w:sz w:val="22"/>
          <w:szCs w:val="22"/>
        </w:rPr>
        <w:t xml:space="preserve"> </w:t>
      </w:r>
      <w:r w:rsidRPr="00A86B21">
        <w:rPr>
          <w:sz w:val="22"/>
          <w:szCs w:val="22"/>
        </w:rPr>
        <w:t>are included in the balance sheet as assets</w:t>
      </w:r>
      <w:r w:rsidR="002A01E9" w:rsidRPr="00A86B21">
        <w:rPr>
          <w:sz w:val="22"/>
          <w:szCs w:val="22"/>
        </w:rPr>
        <w:t>.</w:t>
      </w:r>
    </w:p>
    <w:p w14:paraId="0664BA14" w14:textId="77777777" w:rsidR="009E08E8" w:rsidRPr="00A86B21" w:rsidRDefault="009E08E8" w:rsidP="00DA7115">
      <w:pPr>
        <w:pStyle w:val="ListParagraph"/>
        <w:numPr>
          <w:ilvl w:val="1"/>
          <w:numId w:val="1"/>
        </w:numPr>
        <w:spacing w:after="0" w:line="240" w:lineRule="auto"/>
        <w:jc w:val="both"/>
        <w:rPr>
          <w:sz w:val="22"/>
          <w:szCs w:val="22"/>
          <w:lang w:eastAsia="hr-HR"/>
        </w:rPr>
      </w:pPr>
      <w:r w:rsidRPr="00A86B21">
        <w:rPr>
          <w:color w:val="000000"/>
          <w:sz w:val="22"/>
          <w:szCs w:val="22"/>
          <w:lang w:eastAsia="hr-HR"/>
        </w:rPr>
        <w:t xml:space="preserve">Proof that the company or </w:t>
      </w:r>
      <w:r w:rsidRPr="00A86B21">
        <w:rPr>
          <w:sz w:val="22"/>
          <w:szCs w:val="22"/>
        </w:rPr>
        <w:t>crafts business</w:t>
      </w:r>
      <w:r w:rsidRPr="00A86B21">
        <w:rPr>
          <w:color w:val="000000"/>
          <w:sz w:val="22"/>
          <w:szCs w:val="22"/>
          <w:lang w:eastAsia="hr-HR"/>
        </w:rPr>
        <w:t xml:space="preserve"> does not do business at a loss</w:t>
      </w:r>
      <w:r w:rsidRPr="00A86B21">
        <w:rPr>
          <w:sz w:val="22"/>
          <w:szCs w:val="22"/>
        </w:rPr>
        <w:t>;</w:t>
      </w:r>
    </w:p>
    <w:p w14:paraId="2E9D9668" w14:textId="77777777" w:rsidR="009E08E8" w:rsidRPr="00A86B21" w:rsidRDefault="009E08E8" w:rsidP="00DA7115">
      <w:pPr>
        <w:pStyle w:val="ListParagraph"/>
        <w:numPr>
          <w:ilvl w:val="1"/>
          <w:numId w:val="1"/>
        </w:numPr>
        <w:spacing w:after="0" w:line="240" w:lineRule="auto"/>
        <w:jc w:val="both"/>
        <w:rPr>
          <w:sz w:val="22"/>
          <w:szCs w:val="22"/>
          <w:lang w:eastAsia="hr-HR"/>
        </w:rPr>
      </w:pPr>
      <w:r w:rsidRPr="00A86B21">
        <w:rPr>
          <w:color w:val="000000"/>
          <w:sz w:val="22"/>
          <w:szCs w:val="22"/>
          <w:lang w:eastAsia="hr-HR"/>
        </w:rPr>
        <w:t>Proof of the settlement of tax obligations and contributions in the Republic of Croatia</w:t>
      </w:r>
      <w:r w:rsidRPr="00A86B21">
        <w:rPr>
          <w:sz w:val="22"/>
          <w:szCs w:val="22"/>
        </w:rPr>
        <w:t>;</w:t>
      </w:r>
    </w:p>
    <w:p w14:paraId="6ADA4EF9" w14:textId="07B8342F" w:rsidR="009E08E8" w:rsidRPr="00A86B21" w:rsidRDefault="009E08E8" w:rsidP="00B24F5B">
      <w:pPr>
        <w:pStyle w:val="ListParagraph"/>
        <w:numPr>
          <w:ilvl w:val="1"/>
          <w:numId w:val="1"/>
        </w:numPr>
        <w:spacing w:after="0" w:line="240" w:lineRule="auto"/>
        <w:jc w:val="both"/>
        <w:rPr>
          <w:sz w:val="22"/>
          <w:szCs w:val="22"/>
          <w:lang w:eastAsia="hr-HR"/>
        </w:rPr>
      </w:pPr>
      <w:r w:rsidRPr="00A86B21">
        <w:rPr>
          <w:sz w:val="22"/>
          <w:szCs w:val="22"/>
        </w:rPr>
        <w:t>A business plan with the following information:</w:t>
      </w:r>
      <w:r w:rsidR="00B24F5B" w:rsidRPr="00A86B21">
        <w:rPr>
          <w:sz w:val="22"/>
          <w:szCs w:val="22"/>
        </w:rPr>
        <w:t xml:space="preserve"> </w:t>
      </w:r>
      <w:r w:rsidRPr="00A86B21">
        <w:rPr>
          <w:sz w:val="22"/>
          <w:szCs w:val="22"/>
        </w:rPr>
        <w:t>information on the company or crafts business</w:t>
      </w:r>
      <w:r w:rsidR="002A01E9" w:rsidRPr="00A86B21">
        <w:rPr>
          <w:sz w:val="22"/>
          <w:szCs w:val="22"/>
        </w:rPr>
        <w:t>;</w:t>
      </w:r>
      <w:r w:rsidR="00B24F5B" w:rsidRPr="00A86B21">
        <w:rPr>
          <w:sz w:val="22"/>
          <w:szCs w:val="22"/>
        </w:rPr>
        <w:t xml:space="preserve"> </w:t>
      </w:r>
      <w:r w:rsidRPr="00A86B21">
        <w:rPr>
          <w:sz w:val="22"/>
          <w:szCs w:val="22"/>
        </w:rPr>
        <w:t>investments made for a period of one year</w:t>
      </w:r>
      <w:r w:rsidR="002A01E9" w:rsidRPr="00A86B21">
        <w:rPr>
          <w:sz w:val="22"/>
          <w:szCs w:val="22"/>
        </w:rPr>
        <w:t>;</w:t>
      </w:r>
      <w:r w:rsidR="00B24F5B" w:rsidRPr="00A86B21">
        <w:rPr>
          <w:sz w:val="22"/>
          <w:szCs w:val="22"/>
        </w:rPr>
        <w:t xml:space="preserve"> </w:t>
      </w:r>
      <w:r w:rsidRPr="00A86B21">
        <w:rPr>
          <w:sz w:val="22"/>
          <w:szCs w:val="22"/>
        </w:rPr>
        <w:t>list of tangible and intangible assets</w:t>
      </w:r>
      <w:r w:rsidR="00B24F5B" w:rsidRPr="00A86B21">
        <w:rPr>
          <w:sz w:val="22"/>
          <w:szCs w:val="22"/>
        </w:rPr>
        <w:t>. I</w:t>
      </w:r>
      <w:r w:rsidRPr="00A86B21">
        <w:rPr>
          <w:sz w:val="22"/>
          <w:szCs w:val="22"/>
        </w:rPr>
        <w:t>n the case of the business plan for self-employed investors who own a crafts business, the business plan must in addition, reflect the following aspects:</w:t>
      </w:r>
      <w:r w:rsidR="004735D5" w:rsidRPr="00A86B21">
        <w:rPr>
          <w:sz w:val="22"/>
          <w:szCs w:val="22"/>
        </w:rPr>
        <w:t xml:space="preserve"> </w:t>
      </w:r>
      <w:r w:rsidRPr="00A86B21">
        <w:rPr>
          <w:sz w:val="22"/>
          <w:szCs w:val="22"/>
        </w:rPr>
        <w:t>activities of the crafts business</w:t>
      </w:r>
      <w:r w:rsidR="004735D5" w:rsidRPr="00A86B21">
        <w:rPr>
          <w:sz w:val="22"/>
          <w:szCs w:val="22"/>
        </w:rPr>
        <w:t xml:space="preserve">; </w:t>
      </w:r>
      <w:r w:rsidRPr="00A86B21">
        <w:rPr>
          <w:sz w:val="22"/>
          <w:szCs w:val="22"/>
        </w:rPr>
        <w:t>employment plan including job creation by job type, qualifications and number of executive staff.</w:t>
      </w:r>
    </w:p>
    <w:p w14:paraId="18EB3B2F" w14:textId="18AA881F" w:rsidR="009E08E8" w:rsidRPr="00A86B21" w:rsidRDefault="009E08E8" w:rsidP="00DA7115">
      <w:pPr>
        <w:spacing w:after="0" w:line="240" w:lineRule="auto"/>
        <w:jc w:val="both"/>
        <w:textAlignment w:val="top"/>
      </w:pPr>
    </w:p>
    <w:p w14:paraId="1D3BF46B" w14:textId="7276A70D" w:rsidR="00420784" w:rsidRPr="00A86B21" w:rsidRDefault="00420784" w:rsidP="00420784">
      <w:pPr>
        <w:pStyle w:val="MMultilevel"/>
        <w:numPr>
          <w:ilvl w:val="0"/>
          <w:numId w:val="0"/>
        </w:numPr>
        <w:rPr>
          <w:lang w:val="en-GB"/>
        </w:rPr>
      </w:pPr>
      <w:r w:rsidRPr="00A86B21">
        <w:rPr>
          <w:lang w:val="en-GB"/>
        </w:rPr>
        <w:t xml:space="preserve">Apart from this, </w:t>
      </w:r>
      <w:r w:rsidRPr="00A86B21">
        <w:rPr>
          <w:lang w:val="en-GB"/>
        </w:rPr>
        <w:t xml:space="preserve">the investor has to pay the </w:t>
      </w:r>
      <w:r w:rsidRPr="00A86B21">
        <w:rPr>
          <w:b/>
          <w:lang w:val="en-GB"/>
        </w:rPr>
        <w:t xml:space="preserve">administrative fee </w:t>
      </w:r>
      <w:r w:rsidRPr="00A86B21">
        <w:rPr>
          <w:lang w:val="en-GB"/>
        </w:rPr>
        <w:t xml:space="preserve">of HRK 560 (approximately </w:t>
      </w:r>
      <w:r w:rsidRPr="00A86B21">
        <w:rPr>
          <w:b/>
          <w:lang w:val="en-GB"/>
        </w:rPr>
        <w:t>EUR 75</w:t>
      </w:r>
      <w:r w:rsidRPr="00A86B21">
        <w:rPr>
          <w:lang w:val="en-GB"/>
        </w:rPr>
        <w:t xml:space="preserve">) in order to obtain the residence and work permit. </w:t>
      </w:r>
    </w:p>
    <w:p w14:paraId="6134D365" w14:textId="69BD4639" w:rsidR="00420784" w:rsidRPr="00A86B21" w:rsidRDefault="00420784" w:rsidP="00DA7115">
      <w:pPr>
        <w:spacing w:after="0" w:line="240" w:lineRule="auto"/>
        <w:jc w:val="both"/>
        <w:textAlignment w:val="top"/>
      </w:pPr>
    </w:p>
    <w:p w14:paraId="5B0B690B" w14:textId="5C75B1B7" w:rsidR="00420784" w:rsidRPr="00A86B21" w:rsidRDefault="00420784" w:rsidP="00DA7115">
      <w:pPr>
        <w:spacing w:after="0" w:line="240" w:lineRule="auto"/>
        <w:jc w:val="both"/>
        <w:textAlignment w:val="top"/>
      </w:pPr>
      <w:r w:rsidRPr="00A86B21">
        <w:rPr>
          <w:bCs/>
          <w:sz w:val="22"/>
          <w:szCs w:val="22"/>
        </w:rPr>
        <w:t xml:space="preserve">The </w:t>
      </w:r>
      <w:r w:rsidRPr="00A86B21">
        <w:rPr>
          <w:b/>
          <w:bCs/>
          <w:sz w:val="22"/>
          <w:szCs w:val="22"/>
        </w:rPr>
        <w:t>physical presence of the investor is required</w:t>
      </w:r>
      <w:r w:rsidRPr="00A86B21">
        <w:rPr>
          <w:bCs/>
          <w:sz w:val="22"/>
          <w:szCs w:val="22"/>
        </w:rPr>
        <w:t xml:space="preserve"> for the duration of a residence and work permit because the national legislation lists as one of the reasons for the termination of temporary stay that the third-country national has been abroad for more than 30 days. Exceptionally, for a third-country national who, for a justified reason, leaves Croatia for a period of up to 90 days, the temporary stay will not be suspended if s/he has previously notified the competent police authority or police station of her/his departure. For such purposes, the registration of the residence of third-country nationals is supervised by the police officers of the Ministry of Interior inspecting the Information System of the Ministry of Interior, or if it is the case of the first temporary stay, by inspecting the address that the third-country national designated as his/her intended place of residence.</w:t>
      </w:r>
      <w:r w:rsidRPr="00A86B21">
        <w:rPr>
          <w:bCs/>
          <w:sz w:val="22"/>
          <w:szCs w:val="22"/>
          <w:vertAlign w:val="superscript"/>
        </w:rPr>
        <w:footnoteReference w:id="7"/>
      </w:r>
    </w:p>
    <w:p w14:paraId="3FEA6765" w14:textId="77777777" w:rsidR="00420784" w:rsidRPr="00A86B21" w:rsidRDefault="00420784" w:rsidP="00DA7115">
      <w:pPr>
        <w:spacing w:after="0" w:line="240" w:lineRule="auto"/>
        <w:jc w:val="both"/>
        <w:textAlignment w:val="top"/>
      </w:pPr>
    </w:p>
    <w:p w14:paraId="51816E14" w14:textId="77777777" w:rsidR="00420784" w:rsidRPr="00A86B21" w:rsidRDefault="00420784" w:rsidP="00420784">
      <w:pPr>
        <w:pStyle w:val="MBT"/>
        <w:rPr>
          <w:i/>
          <w:u w:val="single"/>
          <w:lang w:val="en-GB"/>
        </w:rPr>
      </w:pPr>
      <w:r w:rsidRPr="00A86B21">
        <w:rPr>
          <w:i/>
          <w:u w:val="single"/>
          <w:lang w:val="en-GB"/>
        </w:rPr>
        <w:t>Procedure</w:t>
      </w:r>
    </w:p>
    <w:p w14:paraId="6D68E415" w14:textId="77777777" w:rsidR="00420784" w:rsidRPr="00A86B21" w:rsidRDefault="00420784" w:rsidP="00420784">
      <w:pPr>
        <w:pStyle w:val="MBT"/>
        <w:rPr>
          <w:lang w:val="en-GB"/>
        </w:rPr>
      </w:pPr>
      <w:r w:rsidRPr="00A86B21">
        <w:rPr>
          <w:lang w:val="en-GB"/>
        </w:rPr>
        <w:t xml:space="preserve">The </w:t>
      </w:r>
      <w:r w:rsidRPr="00A86B21">
        <w:rPr>
          <w:b/>
          <w:lang w:val="en-GB"/>
        </w:rPr>
        <w:t>procedure for foreign investors</w:t>
      </w:r>
      <w:r w:rsidRPr="00A86B21">
        <w:rPr>
          <w:lang w:val="en-GB"/>
        </w:rPr>
        <w:t xml:space="preserve"> to obtain a residence and work permit starts with the filing of the </w:t>
      </w:r>
      <w:r w:rsidRPr="00A86B21">
        <w:rPr>
          <w:b/>
          <w:lang w:val="en-GB"/>
        </w:rPr>
        <w:t>application</w:t>
      </w:r>
      <w:r w:rsidRPr="00A86B21">
        <w:rPr>
          <w:lang w:val="en-GB"/>
        </w:rPr>
        <w:t xml:space="preserve">. The application must be filed </w:t>
      </w:r>
      <w:r w:rsidRPr="00A86B21">
        <w:rPr>
          <w:b/>
          <w:lang w:val="en-GB"/>
        </w:rPr>
        <w:t>in person</w:t>
      </w:r>
      <w:r w:rsidRPr="00A86B21">
        <w:rPr>
          <w:lang w:val="en-GB"/>
        </w:rPr>
        <w:t xml:space="preserve"> with the competent police administration or police station of the intended place of residence (if the applicant is already residing in Croatia) or with the Embassy of Croatia (if the applicant resides abroad and is requesting to enter the Croatian territory for the first time). The </w:t>
      </w:r>
      <w:r w:rsidRPr="00A86B21">
        <w:rPr>
          <w:b/>
          <w:lang w:val="en-GB"/>
        </w:rPr>
        <w:t>form</w:t>
      </w:r>
      <w:r w:rsidRPr="00A86B21">
        <w:rPr>
          <w:vertAlign w:val="superscript"/>
          <w:lang w:val="en-GB"/>
        </w:rPr>
        <w:footnoteReference w:id="8"/>
      </w:r>
      <w:r w:rsidRPr="00A86B21">
        <w:rPr>
          <w:lang w:val="en-GB"/>
        </w:rPr>
        <w:t xml:space="preserve"> of the application (i.e. Form 9a) is prescribed by the Regulation on the Status </w:t>
      </w:r>
      <w:r w:rsidRPr="00A86B21">
        <w:rPr>
          <w:lang w:val="en-GB"/>
        </w:rPr>
        <w:lastRenderedPageBreak/>
        <w:t>and Work of Foreigners in the Republic of Croatia.</w:t>
      </w:r>
      <w:r w:rsidRPr="00A86B21">
        <w:rPr>
          <w:vertAlign w:val="superscript"/>
          <w:lang w:val="en-GB"/>
        </w:rPr>
        <w:footnoteReference w:id="9"/>
      </w:r>
      <w:r w:rsidRPr="00A86B21">
        <w:rPr>
          <w:lang w:val="en-GB"/>
        </w:rPr>
        <w:t xml:space="preserve"> The application form should be </w:t>
      </w:r>
      <w:r w:rsidRPr="00A86B21">
        <w:rPr>
          <w:b/>
          <w:lang w:val="en-GB"/>
        </w:rPr>
        <w:t>bilingual</w:t>
      </w:r>
      <w:r w:rsidRPr="00A86B21">
        <w:rPr>
          <w:lang w:val="en-GB"/>
        </w:rPr>
        <w:t xml:space="preserve">, i.e. printed in Croatian and English. The </w:t>
      </w:r>
      <w:r w:rsidRPr="00A86B21">
        <w:rPr>
          <w:b/>
          <w:lang w:val="en-GB"/>
        </w:rPr>
        <w:t>documents accompanying</w:t>
      </w:r>
      <w:r w:rsidRPr="00A86B21">
        <w:rPr>
          <w:lang w:val="en-GB"/>
        </w:rPr>
        <w:t xml:space="preserve"> the application for a residence and work permit (explained below)</w:t>
      </w:r>
      <w:r w:rsidRPr="00A86B21">
        <w:rPr>
          <w:vertAlign w:val="superscript"/>
          <w:lang w:val="en-GB"/>
        </w:rPr>
        <w:footnoteReference w:id="10"/>
      </w:r>
      <w:r w:rsidRPr="00A86B21">
        <w:rPr>
          <w:lang w:val="en-GB"/>
        </w:rPr>
        <w:t xml:space="preserve"> must be in their original form or a certified copy, and foreign documents must be officially translated into the Croatian language and notarized.</w:t>
      </w:r>
      <w:r w:rsidRPr="00A86B21">
        <w:rPr>
          <w:vertAlign w:val="superscript"/>
          <w:lang w:val="en-GB"/>
        </w:rPr>
        <w:footnoteReference w:id="11"/>
      </w:r>
      <w:r w:rsidRPr="00A86B21">
        <w:rPr>
          <w:lang w:val="en-GB"/>
        </w:rPr>
        <w:t xml:space="preserve"> </w:t>
      </w:r>
    </w:p>
    <w:p w14:paraId="7A59BEE1" w14:textId="77777777" w:rsidR="00420784" w:rsidRPr="00A86B21" w:rsidRDefault="00420784" w:rsidP="00DA7115">
      <w:pPr>
        <w:spacing w:after="0" w:line="240" w:lineRule="auto"/>
        <w:jc w:val="both"/>
        <w:textAlignment w:val="top"/>
      </w:pPr>
    </w:p>
    <w:p w14:paraId="0E4497E3" w14:textId="459CFF42" w:rsidR="00181A3A" w:rsidRPr="00A86B21" w:rsidRDefault="00AD1243" w:rsidP="00DA7115">
      <w:pPr>
        <w:pStyle w:val="MMultilevel"/>
        <w:numPr>
          <w:ilvl w:val="0"/>
          <w:numId w:val="0"/>
        </w:numPr>
        <w:rPr>
          <w:lang w:val="en-GB"/>
        </w:rPr>
      </w:pPr>
      <w:r w:rsidRPr="00A86B21">
        <w:rPr>
          <w:lang w:val="en-GB" w:eastAsia="hr-HR"/>
        </w:rPr>
        <w:t xml:space="preserve">The </w:t>
      </w:r>
      <w:r w:rsidRPr="00A86B21">
        <w:rPr>
          <w:b/>
          <w:lang w:val="en-GB" w:eastAsia="hr-HR"/>
        </w:rPr>
        <w:t>Ministry of the Interior</w:t>
      </w:r>
      <w:r w:rsidRPr="00A86B21">
        <w:rPr>
          <w:lang w:val="en-GB" w:eastAsia="hr-HR"/>
        </w:rPr>
        <w:t xml:space="preserve"> is the </w:t>
      </w:r>
      <w:r w:rsidRPr="00A86B21">
        <w:rPr>
          <w:b/>
          <w:lang w:val="en-GB" w:eastAsia="hr-HR"/>
        </w:rPr>
        <w:t>competent authority</w:t>
      </w:r>
      <w:r w:rsidRPr="00A86B21">
        <w:rPr>
          <w:lang w:val="en-GB" w:eastAsia="hr-HR"/>
        </w:rPr>
        <w:t xml:space="preserve"> responsible for </w:t>
      </w:r>
      <w:r w:rsidRPr="00A86B21">
        <w:rPr>
          <w:b/>
          <w:lang w:val="en-GB" w:eastAsia="hr-HR"/>
        </w:rPr>
        <w:t>deciding</w:t>
      </w:r>
      <w:r w:rsidRPr="00A86B21">
        <w:rPr>
          <w:lang w:val="en-GB" w:eastAsia="hr-HR"/>
        </w:rPr>
        <w:t xml:space="preserve"> </w:t>
      </w:r>
      <w:r w:rsidRPr="00A86B21">
        <w:rPr>
          <w:b/>
          <w:lang w:val="en-GB" w:eastAsia="hr-HR"/>
        </w:rPr>
        <w:t>on the</w:t>
      </w:r>
      <w:r w:rsidR="00D33FFF" w:rsidRPr="00A86B21">
        <w:rPr>
          <w:b/>
          <w:lang w:val="en-GB" w:eastAsia="hr-HR"/>
        </w:rPr>
        <w:t xml:space="preserve"> </w:t>
      </w:r>
      <w:r w:rsidRPr="00A86B21">
        <w:rPr>
          <w:b/>
          <w:lang w:val="en-GB" w:eastAsia="hr-HR"/>
        </w:rPr>
        <w:t>application</w:t>
      </w:r>
      <w:r w:rsidRPr="00A86B21">
        <w:rPr>
          <w:lang w:val="en-GB" w:eastAsia="hr-HR"/>
        </w:rPr>
        <w:t xml:space="preserve"> for a residence and work permit for </w:t>
      </w:r>
      <w:r w:rsidR="00181A3A" w:rsidRPr="00A86B21">
        <w:rPr>
          <w:lang w:val="en-GB" w:eastAsia="hr-HR"/>
        </w:rPr>
        <w:t>foreign investors</w:t>
      </w:r>
      <w:r w:rsidRPr="00A86B21">
        <w:rPr>
          <w:lang w:val="en-GB"/>
        </w:rPr>
        <w:t xml:space="preserve">. The </w:t>
      </w:r>
      <w:r w:rsidRPr="00A86B21">
        <w:rPr>
          <w:b/>
          <w:lang w:val="en-GB"/>
        </w:rPr>
        <w:t>police officers</w:t>
      </w:r>
      <w:r w:rsidR="00181A3A" w:rsidRPr="00A86B21">
        <w:rPr>
          <w:lang w:val="en-GB"/>
        </w:rPr>
        <w:t xml:space="preserve"> are in charge </w:t>
      </w:r>
      <w:r w:rsidRPr="00A86B21">
        <w:rPr>
          <w:lang w:val="en-GB"/>
        </w:rPr>
        <w:t xml:space="preserve">of </w:t>
      </w:r>
      <w:r w:rsidRPr="00A86B21">
        <w:rPr>
          <w:b/>
          <w:lang w:val="en-GB"/>
        </w:rPr>
        <w:t>examining the application and the accompanying documents</w:t>
      </w:r>
      <w:r w:rsidRPr="00A86B21">
        <w:rPr>
          <w:lang w:val="en-GB"/>
        </w:rPr>
        <w:t xml:space="preserve"> and verifying t</w:t>
      </w:r>
      <w:r w:rsidR="00181A3A" w:rsidRPr="00A86B21">
        <w:rPr>
          <w:lang w:val="en-GB"/>
        </w:rPr>
        <w:t>he information therein declared.</w:t>
      </w:r>
      <w:r w:rsidR="00202506" w:rsidRPr="00A86B21">
        <w:rPr>
          <w:vertAlign w:val="superscript"/>
          <w:lang w:val="en-GB"/>
        </w:rPr>
        <w:footnoteReference w:id="12"/>
      </w:r>
      <w:r w:rsidRPr="00A86B21">
        <w:rPr>
          <w:lang w:val="en-GB"/>
        </w:rPr>
        <w:t xml:space="preserve"> The legislation does not provide the term within which the competent authorities must examine and issue the corresponding decision on the application for a residence and work permit.</w:t>
      </w:r>
    </w:p>
    <w:p w14:paraId="54C6B1AF" w14:textId="77777777" w:rsidR="00D67567" w:rsidRPr="00A86B21" w:rsidRDefault="00D67567" w:rsidP="00DA7115">
      <w:pPr>
        <w:pStyle w:val="MMultilevel"/>
        <w:numPr>
          <w:ilvl w:val="0"/>
          <w:numId w:val="0"/>
        </w:numPr>
        <w:rPr>
          <w:lang w:val="en-GB"/>
        </w:rPr>
      </w:pPr>
    </w:p>
    <w:p w14:paraId="4E482898" w14:textId="499EBB68" w:rsidR="00B9530A" w:rsidRPr="00A86B21" w:rsidRDefault="00420784" w:rsidP="00DA7115">
      <w:pPr>
        <w:spacing w:after="0" w:line="240" w:lineRule="auto"/>
        <w:jc w:val="both"/>
        <w:rPr>
          <w:color w:val="000000"/>
          <w:sz w:val="22"/>
          <w:szCs w:val="22"/>
        </w:rPr>
      </w:pPr>
      <w:r w:rsidRPr="00A86B21">
        <w:rPr>
          <w:bCs/>
          <w:sz w:val="22"/>
          <w:szCs w:val="22"/>
        </w:rPr>
        <w:t xml:space="preserve">If the application is approved, the </w:t>
      </w:r>
      <w:r w:rsidR="00B9530A" w:rsidRPr="00A86B21">
        <w:rPr>
          <w:bCs/>
          <w:sz w:val="22"/>
          <w:szCs w:val="22"/>
        </w:rPr>
        <w:t xml:space="preserve">investor may reside on the basis of temporary stay (i.e. </w:t>
      </w:r>
      <w:r w:rsidR="00202506" w:rsidRPr="00A86B21">
        <w:rPr>
          <w:bCs/>
          <w:sz w:val="22"/>
          <w:szCs w:val="22"/>
        </w:rPr>
        <w:t xml:space="preserve">with </w:t>
      </w:r>
      <w:r w:rsidR="00B9530A" w:rsidRPr="00A86B21">
        <w:rPr>
          <w:bCs/>
          <w:sz w:val="22"/>
          <w:szCs w:val="22"/>
        </w:rPr>
        <w:t>a residence and work permit</w:t>
      </w:r>
      <w:r w:rsidR="00202506" w:rsidRPr="00A86B21">
        <w:rPr>
          <w:bCs/>
          <w:sz w:val="22"/>
          <w:szCs w:val="22"/>
        </w:rPr>
        <w:t xml:space="preserve"> outside the annual quota</w:t>
      </w:r>
      <w:r w:rsidR="00B9530A" w:rsidRPr="00A86B21">
        <w:rPr>
          <w:bCs/>
          <w:sz w:val="22"/>
          <w:szCs w:val="22"/>
        </w:rPr>
        <w:t>)</w:t>
      </w:r>
      <w:r w:rsidR="00202506" w:rsidRPr="00A86B21">
        <w:rPr>
          <w:bCs/>
          <w:sz w:val="22"/>
          <w:szCs w:val="22"/>
        </w:rPr>
        <w:t xml:space="preserve"> of</w:t>
      </w:r>
      <w:r w:rsidR="00B9530A" w:rsidRPr="00A86B21">
        <w:rPr>
          <w:bCs/>
          <w:sz w:val="22"/>
          <w:szCs w:val="22"/>
        </w:rPr>
        <w:t xml:space="preserve"> </w:t>
      </w:r>
      <w:r w:rsidR="00B9530A" w:rsidRPr="00A86B21">
        <w:rPr>
          <w:b/>
          <w:bCs/>
          <w:sz w:val="22"/>
          <w:szCs w:val="22"/>
        </w:rPr>
        <w:t>up to one year</w:t>
      </w:r>
      <w:r w:rsidR="004735D5" w:rsidRPr="00A86B21">
        <w:rPr>
          <w:bCs/>
          <w:sz w:val="22"/>
          <w:szCs w:val="22"/>
        </w:rPr>
        <w:t>. The request for</w:t>
      </w:r>
      <w:r w:rsidR="00B9530A" w:rsidRPr="00A86B21">
        <w:rPr>
          <w:bCs/>
          <w:sz w:val="22"/>
          <w:szCs w:val="22"/>
        </w:rPr>
        <w:t xml:space="preserve"> the </w:t>
      </w:r>
      <w:r w:rsidR="00B9530A" w:rsidRPr="00A86B21">
        <w:rPr>
          <w:b/>
          <w:bCs/>
          <w:sz w:val="22"/>
          <w:szCs w:val="22"/>
        </w:rPr>
        <w:t xml:space="preserve">extension of </w:t>
      </w:r>
      <w:r w:rsidR="00202506" w:rsidRPr="00A86B21">
        <w:rPr>
          <w:b/>
          <w:bCs/>
          <w:sz w:val="22"/>
          <w:szCs w:val="22"/>
        </w:rPr>
        <w:t>the</w:t>
      </w:r>
      <w:r w:rsidR="00B9530A" w:rsidRPr="00A86B21">
        <w:rPr>
          <w:b/>
          <w:bCs/>
          <w:sz w:val="22"/>
          <w:szCs w:val="22"/>
        </w:rPr>
        <w:t xml:space="preserve"> permit</w:t>
      </w:r>
      <w:r w:rsidR="00B9530A" w:rsidRPr="00A86B21">
        <w:rPr>
          <w:bCs/>
          <w:sz w:val="22"/>
          <w:szCs w:val="22"/>
        </w:rPr>
        <w:t xml:space="preserve"> </w:t>
      </w:r>
      <w:r w:rsidR="004735D5" w:rsidRPr="00A86B21">
        <w:rPr>
          <w:bCs/>
          <w:sz w:val="22"/>
          <w:szCs w:val="22"/>
        </w:rPr>
        <w:t>must</w:t>
      </w:r>
      <w:r w:rsidR="00B9530A" w:rsidRPr="00A86B21">
        <w:rPr>
          <w:bCs/>
          <w:sz w:val="22"/>
          <w:szCs w:val="22"/>
        </w:rPr>
        <w:t xml:space="preserve"> be submitted </w:t>
      </w:r>
      <w:r w:rsidR="00B9530A" w:rsidRPr="00A86B21">
        <w:rPr>
          <w:b/>
          <w:bCs/>
          <w:sz w:val="22"/>
          <w:szCs w:val="22"/>
        </w:rPr>
        <w:t>not later than 60 days</w:t>
      </w:r>
      <w:r w:rsidR="00B9530A" w:rsidRPr="00A86B21">
        <w:rPr>
          <w:bCs/>
          <w:sz w:val="22"/>
          <w:szCs w:val="22"/>
        </w:rPr>
        <w:t xml:space="preserve"> before the expiry of the valid permit to the police department or police station at the place of residence, or seat of the emplo</w:t>
      </w:r>
      <w:r w:rsidR="004735D5" w:rsidRPr="00A86B21">
        <w:rPr>
          <w:bCs/>
          <w:sz w:val="22"/>
          <w:szCs w:val="22"/>
        </w:rPr>
        <w:t>yer or place of work of a third-</w:t>
      </w:r>
      <w:r w:rsidR="00B9530A" w:rsidRPr="00A86B21">
        <w:rPr>
          <w:bCs/>
          <w:sz w:val="22"/>
          <w:szCs w:val="22"/>
        </w:rPr>
        <w:t xml:space="preserve">country national. </w:t>
      </w:r>
      <w:r w:rsidR="00B9530A" w:rsidRPr="00A86B21">
        <w:rPr>
          <w:color w:val="000000"/>
          <w:sz w:val="22"/>
          <w:szCs w:val="22"/>
        </w:rPr>
        <w:t xml:space="preserve">The national legislation does not specify the duration of renewal. However, it could be inferred from the provisions on a permanent stay that the </w:t>
      </w:r>
      <w:r w:rsidR="00B9530A" w:rsidRPr="00A86B21">
        <w:rPr>
          <w:b/>
          <w:color w:val="000000"/>
          <w:sz w:val="22"/>
          <w:szCs w:val="22"/>
        </w:rPr>
        <w:t>renewal could be extended at least up to five years.</w:t>
      </w:r>
      <w:r w:rsidR="00A93F7F" w:rsidRPr="00A86B21">
        <w:rPr>
          <w:b/>
          <w:color w:val="000000"/>
          <w:sz w:val="22"/>
          <w:szCs w:val="22"/>
        </w:rPr>
        <w:t xml:space="preserve"> </w:t>
      </w:r>
      <w:r w:rsidR="00A93F7F" w:rsidRPr="00A86B21">
        <w:rPr>
          <w:bCs/>
          <w:color w:val="000000"/>
          <w:sz w:val="22"/>
          <w:szCs w:val="22"/>
        </w:rPr>
        <w:t>This may lead to permanent stay if a third-country national has continuously and legally resided 5 years until the day of the submission of an application for a permanent stay permit.</w:t>
      </w:r>
      <w:r w:rsidR="00202506" w:rsidRPr="00A86B21">
        <w:rPr>
          <w:rStyle w:val="FootnoteReference"/>
          <w:color w:val="000000"/>
          <w:sz w:val="22"/>
          <w:szCs w:val="22"/>
        </w:rPr>
        <w:footnoteReference w:id="13"/>
      </w:r>
      <w:r w:rsidR="00A93F7F" w:rsidRPr="00A86B21">
        <w:rPr>
          <w:color w:val="000000"/>
          <w:sz w:val="22"/>
          <w:szCs w:val="22"/>
        </w:rPr>
        <w:t xml:space="preserve"> </w:t>
      </w:r>
    </w:p>
    <w:p w14:paraId="1277AF90" w14:textId="3C7A333F" w:rsidR="004735D5" w:rsidRPr="00A86B21" w:rsidRDefault="004735D5" w:rsidP="00DA7115">
      <w:pPr>
        <w:spacing w:after="0" w:line="240" w:lineRule="auto"/>
        <w:jc w:val="both"/>
        <w:rPr>
          <w:b/>
          <w:color w:val="000000"/>
          <w:sz w:val="22"/>
          <w:szCs w:val="22"/>
        </w:rPr>
      </w:pPr>
    </w:p>
    <w:p w14:paraId="0160C38C" w14:textId="77777777" w:rsidR="00420784" w:rsidRPr="00A86B21" w:rsidRDefault="00420784" w:rsidP="00420784">
      <w:pPr>
        <w:spacing w:after="0" w:line="240" w:lineRule="auto"/>
        <w:jc w:val="both"/>
        <w:rPr>
          <w:sz w:val="22"/>
          <w:szCs w:val="22"/>
          <w:lang w:eastAsia="hr-HR"/>
        </w:rPr>
      </w:pPr>
      <w:r w:rsidRPr="00A86B21">
        <w:rPr>
          <w:b/>
          <w:sz w:val="22"/>
          <w:szCs w:val="22"/>
          <w:lang w:eastAsia="hr-HR"/>
        </w:rPr>
        <w:t>The application for a residence and work permit</w:t>
      </w:r>
      <w:r w:rsidRPr="00A86B21">
        <w:rPr>
          <w:sz w:val="22"/>
          <w:szCs w:val="22"/>
          <w:lang w:eastAsia="hr-HR"/>
        </w:rPr>
        <w:t xml:space="preserve"> will be </w:t>
      </w:r>
      <w:r w:rsidRPr="00A86B21">
        <w:rPr>
          <w:b/>
          <w:sz w:val="22"/>
          <w:szCs w:val="22"/>
          <w:lang w:eastAsia="hr-HR"/>
        </w:rPr>
        <w:t>turned down if</w:t>
      </w:r>
      <w:r w:rsidRPr="00A86B21">
        <w:rPr>
          <w:sz w:val="22"/>
          <w:szCs w:val="22"/>
          <w:lang w:eastAsia="hr-HR"/>
        </w:rPr>
        <w:t>:</w:t>
      </w:r>
      <w:r w:rsidRPr="00A86B21">
        <w:rPr>
          <w:rStyle w:val="FootnoteReference"/>
          <w:sz w:val="22"/>
          <w:szCs w:val="22"/>
          <w:lang w:eastAsia="hr-HR"/>
        </w:rPr>
        <w:footnoteReference w:id="14"/>
      </w:r>
    </w:p>
    <w:p w14:paraId="783A9465" w14:textId="77777777" w:rsidR="00420784" w:rsidRPr="00A86B21" w:rsidRDefault="00420784" w:rsidP="00420784">
      <w:pPr>
        <w:numPr>
          <w:ilvl w:val="0"/>
          <w:numId w:val="36"/>
        </w:numPr>
        <w:spacing w:after="0" w:line="240" w:lineRule="auto"/>
        <w:jc w:val="both"/>
        <w:rPr>
          <w:sz w:val="22"/>
          <w:szCs w:val="22"/>
          <w:lang w:eastAsia="hr-HR"/>
        </w:rPr>
      </w:pPr>
      <w:r w:rsidRPr="00A86B21">
        <w:rPr>
          <w:sz w:val="22"/>
          <w:szCs w:val="22"/>
          <w:lang w:eastAsia="hr-HR"/>
        </w:rPr>
        <w:t>the conditions to apply are not fulfilled;</w:t>
      </w:r>
    </w:p>
    <w:p w14:paraId="7A5BCBEB" w14:textId="77777777" w:rsidR="00420784" w:rsidRPr="00A86B21" w:rsidRDefault="00420784" w:rsidP="00420784">
      <w:pPr>
        <w:numPr>
          <w:ilvl w:val="0"/>
          <w:numId w:val="36"/>
        </w:numPr>
        <w:spacing w:after="0" w:line="240" w:lineRule="auto"/>
        <w:jc w:val="both"/>
        <w:rPr>
          <w:sz w:val="22"/>
          <w:szCs w:val="22"/>
          <w:lang w:eastAsia="hr-HR"/>
        </w:rPr>
      </w:pPr>
      <w:r w:rsidRPr="00A86B21">
        <w:rPr>
          <w:sz w:val="22"/>
          <w:szCs w:val="22"/>
          <w:lang w:eastAsia="hr-HR"/>
        </w:rPr>
        <w:t>the documentation supplied is fraudulently obtained or it is forged;</w:t>
      </w:r>
    </w:p>
    <w:p w14:paraId="2EAAEB09" w14:textId="77777777" w:rsidR="00420784" w:rsidRPr="00A86B21" w:rsidRDefault="00420784" w:rsidP="00420784">
      <w:pPr>
        <w:numPr>
          <w:ilvl w:val="0"/>
          <w:numId w:val="36"/>
        </w:numPr>
        <w:spacing w:after="0" w:line="240" w:lineRule="auto"/>
        <w:jc w:val="both"/>
        <w:rPr>
          <w:sz w:val="22"/>
          <w:szCs w:val="22"/>
          <w:lang w:eastAsia="hr-HR"/>
        </w:rPr>
      </w:pPr>
      <w:r w:rsidRPr="00A86B21">
        <w:rPr>
          <w:sz w:val="22"/>
          <w:szCs w:val="22"/>
          <w:lang w:eastAsia="hr-HR"/>
        </w:rPr>
        <w:t>there is evidence or serious, objective reasons to believe that the foreigner entered Croatia to reside for purposes different from those declared in the application;</w:t>
      </w:r>
    </w:p>
    <w:p w14:paraId="6E078B10" w14:textId="77777777" w:rsidR="00420784" w:rsidRPr="00A86B21" w:rsidRDefault="00420784" w:rsidP="00420784">
      <w:pPr>
        <w:numPr>
          <w:ilvl w:val="0"/>
          <w:numId w:val="36"/>
        </w:numPr>
        <w:spacing w:after="0" w:line="240" w:lineRule="auto"/>
        <w:jc w:val="both"/>
        <w:rPr>
          <w:sz w:val="22"/>
          <w:szCs w:val="22"/>
          <w:lang w:eastAsia="hr-HR"/>
        </w:rPr>
      </w:pPr>
      <w:r w:rsidRPr="00A86B21">
        <w:rPr>
          <w:sz w:val="22"/>
          <w:szCs w:val="22"/>
          <w:lang w:eastAsia="hr-HR"/>
        </w:rPr>
        <w:t>when an alert has been issued in the Schengen Information System regarding the applicant.</w:t>
      </w:r>
    </w:p>
    <w:p w14:paraId="326EDA00" w14:textId="77777777" w:rsidR="00420784" w:rsidRPr="00A86B21" w:rsidRDefault="00420784" w:rsidP="00420784">
      <w:pPr>
        <w:spacing w:after="0" w:line="240" w:lineRule="auto"/>
        <w:jc w:val="both"/>
        <w:rPr>
          <w:sz w:val="22"/>
          <w:szCs w:val="22"/>
          <w:lang w:eastAsia="hr-HR"/>
        </w:rPr>
      </w:pPr>
    </w:p>
    <w:p w14:paraId="61AE0F22" w14:textId="77777777" w:rsidR="00420784" w:rsidRPr="00A86B21" w:rsidRDefault="00420784" w:rsidP="00420784">
      <w:pPr>
        <w:spacing w:after="0" w:line="240" w:lineRule="auto"/>
        <w:jc w:val="both"/>
        <w:rPr>
          <w:sz w:val="22"/>
          <w:szCs w:val="22"/>
          <w:lang w:eastAsia="hr-HR"/>
        </w:rPr>
      </w:pPr>
      <w:r w:rsidRPr="00A86B21">
        <w:rPr>
          <w:sz w:val="22"/>
          <w:szCs w:val="22"/>
          <w:lang w:eastAsia="hr-HR"/>
        </w:rPr>
        <w:t xml:space="preserve">Furthermore, general grounds for </w:t>
      </w:r>
      <w:r w:rsidRPr="00A86B21">
        <w:rPr>
          <w:b/>
          <w:sz w:val="22"/>
          <w:szCs w:val="22"/>
          <w:lang w:eastAsia="hr-HR"/>
        </w:rPr>
        <w:t>withdrawing a residence and work permit</w:t>
      </w:r>
      <w:r w:rsidRPr="00A86B21">
        <w:rPr>
          <w:sz w:val="22"/>
          <w:szCs w:val="22"/>
          <w:lang w:eastAsia="hr-HR"/>
        </w:rPr>
        <w:t xml:space="preserve"> and terminate the temporary stay apply:</w:t>
      </w:r>
      <w:r w:rsidRPr="00A86B21">
        <w:rPr>
          <w:sz w:val="22"/>
          <w:szCs w:val="22"/>
          <w:vertAlign w:val="superscript"/>
          <w:lang w:eastAsia="hr-HR"/>
        </w:rPr>
        <w:footnoteReference w:id="15"/>
      </w:r>
    </w:p>
    <w:p w14:paraId="6D878316" w14:textId="77777777" w:rsidR="00420784" w:rsidRPr="00A86B21" w:rsidRDefault="00420784" w:rsidP="00420784">
      <w:pPr>
        <w:pStyle w:val="ListParagraph"/>
        <w:numPr>
          <w:ilvl w:val="0"/>
          <w:numId w:val="33"/>
        </w:numPr>
        <w:spacing w:after="0" w:line="240" w:lineRule="auto"/>
        <w:jc w:val="both"/>
        <w:rPr>
          <w:color w:val="000000"/>
          <w:sz w:val="22"/>
          <w:szCs w:val="22"/>
          <w:lang w:eastAsia="hr-HR"/>
        </w:rPr>
      </w:pPr>
      <w:r w:rsidRPr="00A86B21">
        <w:rPr>
          <w:color w:val="000000"/>
          <w:sz w:val="22"/>
          <w:szCs w:val="22"/>
          <w:lang w:eastAsia="hr-HR"/>
        </w:rPr>
        <w:t xml:space="preserve">when the circumstances for the approval of temporary stay cease to exist; </w:t>
      </w:r>
    </w:p>
    <w:p w14:paraId="02BCC6E0" w14:textId="77777777" w:rsidR="00420784" w:rsidRPr="00A86B21" w:rsidRDefault="00420784" w:rsidP="00420784">
      <w:pPr>
        <w:pStyle w:val="ListParagraph"/>
        <w:numPr>
          <w:ilvl w:val="0"/>
          <w:numId w:val="33"/>
        </w:numPr>
        <w:spacing w:after="0" w:line="240" w:lineRule="auto"/>
        <w:jc w:val="both"/>
        <w:rPr>
          <w:color w:val="000000"/>
          <w:sz w:val="22"/>
          <w:szCs w:val="22"/>
          <w:lang w:eastAsia="hr-HR"/>
        </w:rPr>
      </w:pPr>
      <w:r w:rsidRPr="00A86B21">
        <w:rPr>
          <w:color w:val="000000"/>
          <w:sz w:val="22"/>
          <w:szCs w:val="22"/>
          <w:lang w:eastAsia="hr-HR"/>
        </w:rPr>
        <w:t>if the foreigner is prohibited from entering or staying in Croatia;</w:t>
      </w:r>
    </w:p>
    <w:p w14:paraId="1F2637CC" w14:textId="77777777" w:rsidR="00420784" w:rsidRPr="00A86B21" w:rsidRDefault="00420784" w:rsidP="00420784">
      <w:pPr>
        <w:pStyle w:val="ListParagraph"/>
        <w:numPr>
          <w:ilvl w:val="0"/>
          <w:numId w:val="33"/>
        </w:numPr>
        <w:spacing w:after="0" w:line="240" w:lineRule="auto"/>
        <w:jc w:val="both"/>
        <w:rPr>
          <w:color w:val="000000"/>
          <w:sz w:val="22"/>
          <w:szCs w:val="22"/>
          <w:lang w:eastAsia="hr-HR"/>
        </w:rPr>
      </w:pPr>
      <w:r w:rsidRPr="00A86B21">
        <w:rPr>
          <w:color w:val="000000"/>
          <w:sz w:val="22"/>
          <w:szCs w:val="22"/>
          <w:lang w:eastAsia="hr-HR"/>
        </w:rPr>
        <w:t xml:space="preserve">if within 30 days after the approval of temporary stay, the applicant fails to register their place of temporary residence with the police administration or police station; </w:t>
      </w:r>
    </w:p>
    <w:p w14:paraId="18375E56" w14:textId="77777777" w:rsidR="00420784" w:rsidRPr="00A86B21" w:rsidRDefault="00420784" w:rsidP="00420784">
      <w:pPr>
        <w:pStyle w:val="ListParagraph"/>
        <w:numPr>
          <w:ilvl w:val="0"/>
          <w:numId w:val="33"/>
        </w:numPr>
        <w:spacing w:after="0" w:line="240" w:lineRule="auto"/>
        <w:jc w:val="both"/>
        <w:rPr>
          <w:color w:val="000000"/>
          <w:lang w:eastAsia="hr-HR"/>
        </w:rPr>
      </w:pPr>
      <w:r w:rsidRPr="00A86B21">
        <w:rPr>
          <w:color w:val="000000"/>
          <w:sz w:val="22"/>
          <w:szCs w:val="22"/>
          <w:lang w:eastAsia="hr-HR"/>
        </w:rPr>
        <w:t>if the applicant moved out of Croatia or stays abroad uninterruptedly for over 30 days; and</w:t>
      </w:r>
    </w:p>
    <w:p w14:paraId="1F2ACFD4" w14:textId="77777777" w:rsidR="00420784" w:rsidRPr="00A86B21" w:rsidRDefault="00420784" w:rsidP="00420784">
      <w:pPr>
        <w:pStyle w:val="ListParagraph"/>
        <w:numPr>
          <w:ilvl w:val="0"/>
          <w:numId w:val="33"/>
        </w:numPr>
        <w:spacing w:after="0" w:line="240" w:lineRule="auto"/>
        <w:jc w:val="both"/>
        <w:rPr>
          <w:color w:val="000000"/>
          <w:lang w:eastAsia="hr-HR"/>
        </w:rPr>
      </w:pPr>
      <w:r w:rsidRPr="00A86B21">
        <w:rPr>
          <w:color w:val="000000"/>
          <w:sz w:val="22"/>
          <w:szCs w:val="22"/>
          <w:lang w:eastAsia="hr-HR"/>
        </w:rPr>
        <w:t xml:space="preserve">if the applicant stays in Croatia contrary to the purpose of the temporary stay permit. </w:t>
      </w:r>
    </w:p>
    <w:p w14:paraId="4873AF8A" w14:textId="77777777" w:rsidR="00420784" w:rsidRPr="00A86B21" w:rsidRDefault="00420784" w:rsidP="00420784">
      <w:pPr>
        <w:spacing w:after="0" w:line="240" w:lineRule="auto"/>
        <w:jc w:val="both"/>
        <w:rPr>
          <w:color w:val="000000"/>
          <w:lang w:eastAsia="hr-HR"/>
        </w:rPr>
      </w:pPr>
    </w:p>
    <w:p w14:paraId="19220B77" w14:textId="6988504F" w:rsidR="00420784" w:rsidRPr="00A86B21" w:rsidRDefault="00420784" w:rsidP="00420784">
      <w:pPr>
        <w:spacing w:after="0" w:line="240" w:lineRule="auto"/>
        <w:jc w:val="both"/>
        <w:rPr>
          <w:color w:val="000000"/>
          <w:sz w:val="22"/>
          <w:szCs w:val="22"/>
          <w:lang w:eastAsia="hr-HR"/>
        </w:rPr>
      </w:pPr>
      <w:r w:rsidRPr="00A86B21">
        <w:rPr>
          <w:sz w:val="22"/>
          <w:szCs w:val="22"/>
          <w:lang w:eastAsia="hr-HR"/>
        </w:rPr>
        <w:t xml:space="preserve">There are no </w:t>
      </w:r>
      <w:r w:rsidRPr="00A86B21">
        <w:rPr>
          <w:b/>
          <w:sz w:val="22"/>
          <w:szCs w:val="22"/>
          <w:lang w:eastAsia="hr-HR"/>
        </w:rPr>
        <w:t>legal remedies</w:t>
      </w:r>
      <w:r w:rsidRPr="00A86B21">
        <w:rPr>
          <w:sz w:val="22"/>
          <w:szCs w:val="22"/>
          <w:lang w:eastAsia="hr-HR"/>
        </w:rPr>
        <w:t xml:space="preserve"> specific to foreign investors, general rules apply. Legal remedies are available to all third-country nationals applying for a temporary residence and work permit. An </w:t>
      </w:r>
      <w:r w:rsidRPr="00A86B21">
        <w:rPr>
          <w:b/>
          <w:sz w:val="22"/>
          <w:szCs w:val="22"/>
          <w:lang w:eastAsia="hr-HR"/>
        </w:rPr>
        <w:t xml:space="preserve">appeal </w:t>
      </w:r>
      <w:r w:rsidRPr="00A86B21">
        <w:rPr>
          <w:sz w:val="22"/>
          <w:szCs w:val="22"/>
          <w:lang w:eastAsia="hr-HR"/>
        </w:rPr>
        <w:lastRenderedPageBreak/>
        <w:t xml:space="preserve">against the </w:t>
      </w:r>
      <w:r w:rsidRPr="00A86B21">
        <w:rPr>
          <w:b/>
          <w:sz w:val="22"/>
          <w:szCs w:val="22"/>
          <w:lang w:eastAsia="hr-HR"/>
        </w:rPr>
        <w:t>decision on the application</w:t>
      </w:r>
      <w:r w:rsidRPr="00A86B21">
        <w:rPr>
          <w:sz w:val="22"/>
          <w:szCs w:val="22"/>
          <w:lang w:eastAsia="hr-HR"/>
        </w:rPr>
        <w:t xml:space="preserve"> may be filed, where an Appeal Committee appointed by the Government decides about the appeal.</w:t>
      </w:r>
      <w:r w:rsidRPr="00A86B21">
        <w:rPr>
          <w:rStyle w:val="FootnoteReference"/>
          <w:sz w:val="22"/>
          <w:szCs w:val="22"/>
          <w:lang w:eastAsia="hr-HR"/>
        </w:rPr>
        <w:footnoteReference w:id="16"/>
      </w:r>
      <w:r w:rsidRPr="00A86B21">
        <w:rPr>
          <w:sz w:val="22"/>
          <w:szCs w:val="22"/>
          <w:lang w:eastAsia="hr-HR"/>
        </w:rPr>
        <w:t xml:space="preserve"> An appeal is not permissible against a decision refusing the issuance of a stay and work permit if the annual quota is full or if the annual quota for extension, new employment or seasonal employment was not set, but an administrative dispute may be initiated.</w:t>
      </w:r>
      <w:r w:rsidRPr="00A86B21">
        <w:rPr>
          <w:rStyle w:val="FootnoteReference"/>
          <w:sz w:val="22"/>
          <w:szCs w:val="22"/>
          <w:lang w:eastAsia="hr-HR"/>
        </w:rPr>
        <w:footnoteReference w:id="17"/>
      </w:r>
      <w:r w:rsidRPr="00A86B21">
        <w:rPr>
          <w:sz w:val="22"/>
          <w:szCs w:val="22"/>
          <w:lang w:eastAsia="hr-HR"/>
        </w:rPr>
        <w:t xml:space="preserve"> </w:t>
      </w:r>
      <w:r w:rsidRPr="00A86B21">
        <w:rPr>
          <w:color w:val="000000"/>
          <w:sz w:val="22"/>
          <w:szCs w:val="22"/>
          <w:lang w:eastAsia="hr-HR"/>
        </w:rPr>
        <w:t xml:space="preserve">An </w:t>
      </w:r>
      <w:r w:rsidRPr="00A86B21">
        <w:rPr>
          <w:b/>
          <w:color w:val="000000"/>
          <w:sz w:val="22"/>
          <w:szCs w:val="22"/>
          <w:lang w:eastAsia="hr-HR"/>
        </w:rPr>
        <w:t xml:space="preserve">appeal </w:t>
      </w:r>
      <w:r w:rsidRPr="00A86B21">
        <w:rPr>
          <w:color w:val="000000"/>
          <w:sz w:val="22"/>
          <w:szCs w:val="22"/>
          <w:lang w:eastAsia="hr-HR"/>
        </w:rPr>
        <w:t xml:space="preserve">may also be filed against the </w:t>
      </w:r>
      <w:r w:rsidRPr="00A86B21">
        <w:rPr>
          <w:b/>
          <w:color w:val="000000"/>
          <w:sz w:val="22"/>
          <w:szCs w:val="22"/>
          <w:lang w:eastAsia="hr-HR"/>
        </w:rPr>
        <w:t xml:space="preserve">decision of the police administration or police station on the termination </w:t>
      </w:r>
      <w:r w:rsidRPr="00A86B21">
        <w:rPr>
          <w:color w:val="000000"/>
          <w:sz w:val="22"/>
          <w:szCs w:val="22"/>
          <w:lang w:eastAsia="hr-HR"/>
        </w:rPr>
        <w:t>(withdrawal)</w:t>
      </w:r>
      <w:r w:rsidRPr="00A86B21">
        <w:rPr>
          <w:b/>
          <w:color w:val="000000"/>
          <w:sz w:val="22"/>
          <w:szCs w:val="22"/>
          <w:lang w:eastAsia="hr-HR"/>
        </w:rPr>
        <w:t xml:space="preserve"> of temporary stay</w:t>
      </w:r>
      <w:r w:rsidRPr="00A86B21">
        <w:rPr>
          <w:color w:val="000000"/>
          <w:sz w:val="22"/>
          <w:szCs w:val="22"/>
          <w:lang w:eastAsia="hr-HR"/>
        </w:rPr>
        <w:t xml:space="preserve">, where the Appeal Commission decides about the appeal. The national legislation does not specify who can contest the decision but it can be concluded </w:t>
      </w:r>
      <w:r w:rsidRPr="00A86B21">
        <w:rPr>
          <w:i/>
          <w:color w:val="000000"/>
          <w:sz w:val="22"/>
          <w:szCs w:val="22"/>
          <w:lang w:eastAsia="hr-HR"/>
        </w:rPr>
        <w:t>mutatis mutandis</w:t>
      </w:r>
      <w:r w:rsidRPr="00A86B21">
        <w:rPr>
          <w:color w:val="000000"/>
          <w:sz w:val="22"/>
          <w:szCs w:val="22"/>
          <w:lang w:eastAsia="hr-HR"/>
        </w:rPr>
        <w:t xml:space="preserve"> from the other provisions that this right is granted to the applicant.</w:t>
      </w:r>
    </w:p>
    <w:p w14:paraId="1314314A" w14:textId="1C18E00C" w:rsidR="004735D5" w:rsidRPr="00A86B21" w:rsidRDefault="004735D5" w:rsidP="00DA7115">
      <w:pPr>
        <w:pStyle w:val="MMultilevel"/>
        <w:numPr>
          <w:ilvl w:val="0"/>
          <w:numId w:val="0"/>
        </w:numPr>
        <w:rPr>
          <w:b/>
          <w:color w:val="000000"/>
          <w:lang w:val="en-GB" w:eastAsia="hr-HR"/>
        </w:rPr>
      </w:pPr>
    </w:p>
    <w:p w14:paraId="0157F4AB" w14:textId="1E04EEA7" w:rsidR="00B24F5B" w:rsidRPr="00A86B21" w:rsidRDefault="00B24F5B" w:rsidP="00DA7115">
      <w:pPr>
        <w:pStyle w:val="MMultilevel"/>
        <w:numPr>
          <w:ilvl w:val="0"/>
          <w:numId w:val="0"/>
        </w:numPr>
        <w:rPr>
          <w:i/>
          <w:u w:val="single"/>
          <w:lang w:val="en-GB"/>
        </w:rPr>
      </w:pPr>
      <w:r w:rsidRPr="00A86B21">
        <w:rPr>
          <w:i/>
          <w:u w:val="single"/>
          <w:lang w:val="en-GB"/>
        </w:rPr>
        <w:t>Security and ex-post checks</w:t>
      </w:r>
    </w:p>
    <w:p w14:paraId="0285D7B9" w14:textId="0C032142" w:rsidR="00A93F7F" w:rsidRPr="00A86B21" w:rsidRDefault="00B9530A" w:rsidP="00DA7115">
      <w:pPr>
        <w:pStyle w:val="MMultilevel"/>
        <w:numPr>
          <w:ilvl w:val="0"/>
          <w:numId w:val="0"/>
        </w:numPr>
        <w:rPr>
          <w:color w:val="000000"/>
          <w:lang w:val="en-GB" w:eastAsia="hr-HR"/>
        </w:rPr>
      </w:pPr>
      <w:r w:rsidRPr="00A86B21">
        <w:rPr>
          <w:b/>
          <w:color w:val="000000"/>
          <w:lang w:val="en-GB" w:eastAsia="hr-HR"/>
        </w:rPr>
        <w:t>Security checks</w:t>
      </w:r>
      <w:r w:rsidRPr="00A86B21">
        <w:rPr>
          <w:color w:val="000000"/>
          <w:lang w:val="en-GB" w:eastAsia="hr-HR"/>
        </w:rPr>
        <w:t xml:space="preserve"> </w:t>
      </w:r>
      <w:r w:rsidR="00A93F7F" w:rsidRPr="00A86B21">
        <w:rPr>
          <w:color w:val="000000"/>
          <w:lang w:val="en-GB" w:eastAsia="hr-HR"/>
        </w:rPr>
        <w:t xml:space="preserve">on the background of the </w:t>
      </w:r>
      <w:r w:rsidR="004735D5" w:rsidRPr="00A86B21">
        <w:rPr>
          <w:color w:val="000000"/>
          <w:lang w:val="en-GB" w:eastAsia="hr-HR"/>
        </w:rPr>
        <w:t>third-</w:t>
      </w:r>
      <w:r w:rsidRPr="00A86B21">
        <w:rPr>
          <w:color w:val="000000"/>
          <w:lang w:val="en-GB" w:eastAsia="hr-HR"/>
        </w:rPr>
        <w:t xml:space="preserve">country nationals for national security reasons are </w:t>
      </w:r>
      <w:r w:rsidRPr="00A86B21">
        <w:rPr>
          <w:b/>
          <w:color w:val="000000"/>
          <w:lang w:val="en-GB" w:eastAsia="hr-HR"/>
        </w:rPr>
        <w:t>carried out by the Security and Intelligence Agency</w:t>
      </w:r>
      <w:r w:rsidRPr="00A86B21">
        <w:rPr>
          <w:color w:val="000000"/>
          <w:lang w:val="en-GB" w:eastAsia="hr-HR"/>
        </w:rPr>
        <w:t xml:space="preserve"> </w:t>
      </w:r>
      <w:r w:rsidRPr="00A86B21">
        <w:rPr>
          <w:b/>
          <w:lang w:val="en-GB"/>
        </w:rPr>
        <w:t>while deciding on the application</w:t>
      </w:r>
      <w:r w:rsidRPr="00A86B21">
        <w:rPr>
          <w:lang w:val="en-GB"/>
        </w:rPr>
        <w:t xml:space="preserve"> for </w:t>
      </w:r>
      <w:r w:rsidR="00A93F7F" w:rsidRPr="00A86B21">
        <w:rPr>
          <w:lang w:val="en-GB"/>
        </w:rPr>
        <w:t>the residence and work permit</w:t>
      </w:r>
      <w:r w:rsidRPr="00A86B21">
        <w:rPr>
          <w:lang w:val="en-GB"/>
        </w:rPr>
        <w:t xml:space="preserve">. </w:t>
      </w:r>
      <w:r w:rsidRPr="00A86B21">
        <w:rPr>
          <w:color w:val="000000"/>
          <w:lang w:val="en-GB" w:eastAsia="hr-HR"/>
        </w:rPr>
        <w:t xml:space="preserve">The </w:t>
      </w:r>
      <w:r w:rsidRPr="00A86B21">
        <w:rPr>
          <w:b/>
          <w:color w:val="000000"/>
          <w:lang w:val="en-GB" w:eastAsia="hr-HR"/>
        </w:rPr>
        <w:t>n</w:t>
      </w:r>
      <w:r w:rsidR="00FB05D3" w:rsidRPr="00A86B21">
        <w:rPr>
          <w:b/>
          <w:color w:val="000000"/>
          <w:lang w:val="en-GB" w:eastAsia="hr-HR"/>
        </w:rPr>
        <w:t>ational legal framework neither</w:t>
      </w:r>
      <w:r w:rsidRPr="00A86B21">
        <w:rPr>
          <w:b/>
          <w:color w:val="000000"/>
          <w:lang w:val="en-GB" w:eastAsia="hr-HR"/>
        </w:rPr>
        <w:t xml:space="preserve"> foresee</w:t>
      </w:r>
      <w:r w:rsidR="00FB05D3" w:rsidRPr="00A86B21">
        <w:rPr>
          <w:b/>
          <w:color w:val="000000"/>
          <w:lang w:val="en-GB" w:eastAsia="hr-HR"/>
        </w:rPr>
        <w:t>s</w:t>
      </w:r>
      <w:r w:rsidRPr="00A86B21">
        <w:rPr>
          <w:b/>
          <w:color w:val="000000"/>
          <w:lang w:val="en-GB" w:eastAsia="hr-HR"/>
        </w:rPr>
        <w:t xml:space="preserve"> evidence</w:t>
      </w:r>
      <w:r w:rsidRPr="00A86B21">
        <w:rPr>
          <w:color w:val="000000"/>
          <w:lang w:val="en-GB" w:eastAsia="hr-HR"/>
        </w:rPr>
        <w:t xml:space="preserve"> that has to be presented during checks</w:t>
      </w:r>
      <w:r w:rsidR="00FB05D3" w:rsidRPr="00A86B21">
        <w:rPr>
          <w:color w:val="000000"/>
          <w:lang w:val="en-GB" w:eastAsia="hr-HR"/>
        </w:rPr>
        <w:t xml:space="preserve"> </w:t>
      </w:r>
      <w:r w:rsidR="00580FA2" w:rsidRPr="00A86B21">
        <w:rPr>
          <w:color w:val="000000"/>
          <w:lang w:val="en-GB" w:eastAsia="hr-HR"/>
        </w:rPr>
        <w:t xml:space="preserve">for clean criminal records of potential investors </w:t>
      </w:r>
      <w:r w:rsidR="00FB05D3" w:rsidRPr="00A86B21">
        <w:rPr>
          <w:b/>
          <w:color w:val="000000"/>
          <w:lang w:val="en-GB" w:eastAsia="hr-HR"/>
        </w:rPr>
        <w:t>nor regulates the frequency</w:t>
      </w:r>
      <w:r w:rsidR="00FB05D3" w:rsidRPr="00A86B21">
        <w:rPr>
          <w:color w:val="000000"/>
          <w:lang w:val="en-GB" w:eastAsia="hr-HR"/>
        </w:rPr>
        <w:t xml:space="preserve"> of such checks. </w:t>
      </w:r>
      <w:r w:rsidR="00A93F7F" w:rsidRPr="00A86B21">
        <w:rPr>
          <w:color w:val="000000"/>
          <w:lang w:val="en-GB" w:eastAsia="hr-HR"/>
        </w:rPr>
        <w:t xml:space="preserve">To determine whether a third-country national poses a threat to public order, the police administration or police station is obliged to request verification at the municipal and county courts and the Ministry of Justice in the procedure of issuing a temporary stay permit, and the police officers are also </w:t>
      </w:r>
      <w:r w:rsidR="004735D5" w:rsidRPr="00A86B21">
        <w:rPr>
          <w:color w:val="000000"/>
          <w:lang w:val="en-GB" w:eastAsia="hr-HR"/>
        </w:rPr>
        <w:t xml:space="preserve">required </w:t>
      </w:r>
      <w:r w:rsidR="00A93F7F" w:rsidRPr="00A86B21">
        <w:rPr>
          <w:color w:val="000000"/>
          <w:lang w:val="en-GB" w:eastAsia="hr-HR"/>
        </w:rPr>
        <w:t>to carry out checks in other records</w:t>
      </w:r>
      <w:r w:rsidR="004735D5" w:rsidRPr="00A86B21">
        <w:rPr>
          <w:color w:val="000000"/>
          <w:lang w:val="en-GB" w:eastAsia="hr-HR"/>
        </w:rPr>
        <w:t>.</w:t>
      </w:r>
      <w:r w:rsidR="00A93F7F" w:rsidRPr="00A86B21">
        <w:rPr>
          <w:color w:val="000000"/>
          <w:vertAlign w:val="superscript"/>
          <w:lang w:val="en-GB" w:eastAsia="hr-HR"/>
        </w:rPr>
        <w:footnoteReference w:id="18"/>
      </w:r>
      <w:r w:rsidR="00D36633" w:rsidRPr="00A86B21">
        <w:rPr>
          <w:color w:val="000000"/>
          <w:lang w:val="en-GB" w:eastAsia="hr-HR"/>
        </w:rPr>
        <w:t xml:space="preserve"> Although not expressly prescribed by the law, since one of the reasons to turn down applications is that an alert has been issued in the Schengen Information System, it is assumed that such database is consulted.</w:t>
      </w:r>
    </w:p>
    <w:p w14:paraId="639EE78B" w14:textId="6225B6C8" w:rsidR="00A93F7F" w:rsidRPr="00A86B21" w:rsidRDefault="00A93F7F" w:rsidP="00DA7115">
      <w:pPr>
        <w:pStyle w:val="MMultilevel"/>
        <w:numPr>
          <w:ilvl w:val="0"/>
          <w:numId w:val="0"/>
        </w:numPr>
        <w:rPr>
          <w:color w:val="000000"/>
          <w:lang w:val="en-GB" w:eastAsia="hr-HR"/>
        </w:rPr>
      </w:pPr>
    </w:p>
    <w:p w14:paraId="410661EB" w14:textId="3FC2A7B7" w:rsidR="00B9530A" w:rsidRPr="00A86B21" w:rsidRDefault="00A93F7F" w:rsidP="00DA7115">
      <w:pPr>
        <w:pStyle w:val="MMultilevel"/>
        <w:numPr>
          <w:ilvl w:val="0"/>
          <w:numId w:val="0"/>
        </w:numPr>
        <w:rPr>
          <w:color w:val="000000"/>
          <w:lang w:val="en-GB" w:eastAsia="hr-HR"/>
        </w:rPr>
      </w:pPr>
      <w:r w:rsidRPr="00A86B21">
        <w:rPr>
          <w:color w:val="000000"/>
          <w:lang w:val="en-GB" w:eastAsia="hr-HR"/>
        </w:rPr>
        <w:t xml:space="preserve">No </w:t>
      </w:r>
      <w:r w:rsidRPr="00A86B21">
        <w:rPr>
          <w:b/>
          <w:color w:val="000000"/>
          <w:lang w:val="en-GB" w:eastAsia="hr-HR"/>
        </w:rPr>
        <w:t>due diligence checks on the origin of the money</w:t>
      </w:r>
      <w:r w:rsidRPr="00A86B21">
        <w:rPr>
          <w:color w:val="000000"/>
          <w:lang w:val="en-GB" w:eastAsia="hr-HR"/>
        </w:rPr>
        <w:t xml:space="preserve"> used for the investment are </w:t>
      </w:r>
      <w:r w:rsidR="004735D5" w:rsidRPr="00A86B21">
        <w:rPr>
          <w:color w:val="000000"/>
          <w:lang w:val="en-GB" w:eastAsia="hr-HR"/>
        </w:rPr>
        <w:t>set out in</w:t>
      </w:r>
      <w:r w:rsidRPr="00A86B21">
        <w:rPr>
          <w:color w:val="000000"/>
          <w:lang w:val="en-GB" w:eastAsia="hr-HR"/>
        </w:rPr>
        <w:t xml:space="preserve"> Croatian legislation. </w:t>
      </w:r>
      <w:r w:rsidR="00D36633" w:rsidRPr="00A86B21">
        <w:rPr>
          <w:color w:val="000000"/>
          <w:lang w:val="en-GB" w:eastAsia="hr-HR"/>
        </w:rPr>
        <w:t>However, the anti-money laundering law transposing Directive 2015/849</w:t>
      </w:r>
      <w:r w:rsidR="00D36633" w:rsidRPr="00A86B21">
        <w:rPr>
          <w:rStyle w:val="FootnoteReference"/>
          <w:color w:val="000000"/>
          <w:lang w:val="en-GB" w:eastAsia="hr-HR"/>
        </w:rPr>
        <w:footnoteReference w:id="19"/>
      </w:r>
      <w:r w:rsidR="00D36633" w:rsidRPr="00A86B21">
        <w:rPr>
          <w:color w:val="000000"/>
          <w:lang w:val="en-GB" w:eastAsia="hr-HR"/>
        </w:rPr>
        <w:t xml:space="preserve"> </w:t>
      </w:r>
      <w:r w:rsidR="004735D5" w:rsidRPr="00A86B21">
        <w:rPr>
          <w:color w:val="000000"/>
          <w:lang w:val="en-GB" w:eastAsia="hr-HR"/>
        </w:rPr>
        <w:t xml:space="preserve">requires </w:t>
      </w:r>
      <w:r w:rsidR="00D36633" w:rsidRPr="00A86B21">
        <w:rPr>
          <w:color w:val="000000"/>
          <w:lang w:val="en-GB" w:eastAsia="hr-HR"/>
        </w:rPr>
        <w:t xml:space="preserve">obliged entities (credit and financial entities, legal professionals and real estate agents) </w:t>
      </w:r>
      <w:r w:rsidR="004735D5" w:rsidRPr="00A86B21">
        <w:rPr>
          <w:color w:val="000000"/>
          <w:lang w:val="en-GB" w:eastAsia="hr-HR"/>
        </w:rPr>
        <w:t xml:space="preserve">to </w:t>
      </w:r>
      <w:r w:rsidR="00D36633" w:rsidRPr="00A86B21">
        <w:rPr>
          <w:color w:val="000000"/>
          <w:lang w:val="en-GB" w:eastAsia="hr-HR"/>
        </w:rPr>
        <w:t>carry out due diligence checks on the origin of the money.</w:t>
      </w:r>
    </w:p>
    <w:p w14:paraId="42794ABA" w14:textId="7624C65B" w:rsidR="00B9530A" w:rsidRPr="00A86B21" w:rsidRDefault="00B9530A" w:rsidP="00DA7115">
      <w:pPr>
        <w:pStyle w:val="MMultilevel"/>
        <w:numPr>
          <w:ilvl w:val="0"/>
          <w:numId w:val="0"/>
        </w:numPr>
        <w:rPr>
          <w:color w:val="000000"/>
          <w:lang w:val="en-GB" w:eastAsia="hr-HR"/>
        </w:rPr>
      </w:pPr>
    </w:p>
    <w:p w14:paraId="7BDA8BDD" w14:textId="5CFD14CE" w:rsidR="00D36633" w:rsidRPr="00A86B21" w:rsidRDefault="00D36633" w:rsidP="00DA7115">
      <w:pPr>
        <w:pStyle w:val="MMultilevel"/>
        <w:numPr>
          <w:ilvl w:val="0"/>
          <w:numId w:val="0"/>
        </w:numPr>
        <w:rPr>
          <w:color w:val="000000"/>
          <w:lang w:val="en-GB" w:eastAsia="hr-HR"/>
        </w:rPr>
      </w:pPr>
      <w:r w:rsidRPr="00A86B21">
        <w:rPr>
          <w:color w:val="000000"/>
          <w:lang w:val="en-GB" w:eastAsia="hr-HR"/>
        </w:rPr>
        <w:t xml:space="preserve">Regarding </w:t>
      </w:r>
      <w:r w:rsidRPr="00A86B21">
        <w:rPr>
          <w:b/>
          <w:color w:val="000000"/>
          <w:lang w:val="en-GB" w:eastAsia="hr-HR"/>
        </w:rPr>
        <w:t>ex-post checks</w:t>
      </w:r>
      <w:r w:rsidRPr="00A86B21">
        <w:rPr>
          <w:color w:val="000000"/>
          <w:lang w:val="en-GB" w:eastAsia="hr-HR"/>
        </w:rPr>
        <w:t>, the Security and Intelligence System Act prescribes that it is mandatory to conduct a security check for aliens whose residence is important for the security of the State. These checks are carried out by the Security and Intelligence Agency and a reasoned decision rejecting or terminating the stay of a third-country national or expelling a third-country national may be taken on these grounds.</w:t>
      </w:r>
    </w:p>
    <w:p w14:paraId="7414170C" w14:textId="41C51CFF" w:rsidR="00D36633" w:rsidRPr="00A86B21" w:rsidRDefault="00D36633" w:rsidP="00DA7115">
      <w:pPr>
        <w:pStyle w:val="MMultilevel"/>
        <w:numPr>
          <w:ilvl w:val="0"/>
          <w:numId w:val="0"/>
        </w:numPr>
        <w:rPr>
          <w:color w:val="000000"/>
          <w:lang w:val="en-GB" w:eastAsia="hr-HR"/>
        </w:rPr>
      </w:pPr>
    </w:p>
    <w:p w14:paraId="41F6435F" w14:textId="1F835A19" w:rsidR="00D36633" w:rsidRPr="00A86B21" w:rsidRDefault="00D36633" w:rsidP="00DA7115">
      <w:pPr>
        <w:pStyle w:val="MMultilevel"/>
        <w:numPr>
          <w:ilvl w:val="0"/>
          <w:numId w:val="0"/>
        </w:numPr>
        <w:rPr>
          <w:color w:val="000000"/>
          <w:lang w:val="en-GB" w:eastAsia="hr-HR"/>
        </w:rPr>
      </w:pPr>
      <w:r w:rsidRPr="00A86B21">
        <w:rPr>
          <w:color w:val="000000"/>
          <w:lang w:val="en-GB" w:eastAsia="hr-HR"/>
        </w:rPr>
        <w:t>No information on cases of misuse associated with corruption and fraud has been found.</w:t>
      </w:r>
    </w:p>
    <w:p w14:paraId="1DE1294D" w14:textId="77777777" w:rsidR="00D36633" w:rsidRPr="00A86B21" w:rsidRDefault="00D36633" w:rsidP="00DA7115">
      <w:pPr>
        <w:pStyle w:val="MMultilevel"/>
        <w:numPr>
          <w:ilvl w:val="0"/>
          <w:numId w:val="0"/>
        </w:numPr>
        <w:rPr>
          <w:color w:val="000000"/>
          <w:lang w:val="en-GB" w:eastAsia="hr-HR"/>
        </w:rPr>
      </w:pPr>
    </w:p>
    <w:p w14:paraId="6D61935B" w14:textId="239ACBF1" w:rsidR="005F1CA0" w:rsidRPr="00A86B21" w:rsidRDefault="00B24F5B" w:rsidP="00B24F5B">
      <w:pPr>
        <w:widowControl w:val="0"/>
        <w:spacing w:after="0" w:line="240" w:lineRule="auto"/>
        <w:jc w:val="both"/>
        <w:rPr>
          <w:rFonts w:eastAsia="Times New Roman"/>
          <w:bCs/>
          <w:i/>
          <w:color w:val="000000" w:themeColor="text1"/>
          <w:sz w:val="22"/>
          <w:szCs w:val="22"/>
          <w:u w:val="single"/>
          <w:lang w:eastAsia="fr-FR"/>
        </w:rPr>
      </w:pPr>
      <w:r w:rsidRPr="00A86B21">
        <w:rPr>
          <w:rFonts w:eastAsia="Times New Roman"/>
          <w:bCs/>
          <w:i/>
          <w:color w:val="000000" w:themeColor="text1"/>
          <w:sz w:val="22"/>
          <w:szCs w:val="22"/>
          <w:u w:val="single"/>
          <w:lang w:eastAsia="fr-FR"/>
        </w:rPr>
        <w:t>Family members</w:t>
      </w:r>
    </w:p>
    <w:p w14:paraId="745DA640" w14:textId="35734EB1" w:rsidR="00D33FFF" w:rsidRPr="00A86B21" w:rsidRDefault="005F1CA0" w:rsidP="00DA7115">
      <w:pPr>
        <w:pStyle w:val="MMultilevel"/>
        <w:numPr>
          <w:ilvl w:val="0"/>
          <w:numId w:val="0"/>
        </w:numPr>
        <w:rPr>
          <w:lang w:val="en-GB"/>
        </w:rPr>
      </w:pPr>
      <w:r w:rsidRPr="00A86B21">
        <w:rPr>
          <w:b/>
          <w:color w:val="000000"/>
          <w:lang w:val="en-GB" w:eastAsia="hr-HR"/>
        </w:rPr>
        <w:t>Members</w:t>
      </w:r>
      <w:r w:rsidR="00D33FFF" w:rsidRPr="00A86B21">
        <w:rPr>
          <w:b/>
          <w:color w:val="000000"/>
          <w:lang w:val="en-GB" w:eastAsia="hr-HR"/>
        </w:rPr>
        <w:t xml:space="preserve"> of the immediate family of </w:t>
      </w:r>
      <w:r w:rsidR="00D33FFF" w:rsidRPr="00A86B21">
        <w:rPr>
          <w:b/>
          <w:lang w:val="en-GB"/>
        </w:rPr>
        <w:t>the investor</w:t>
      </w:r>
      <w:r w:rsidR="00202506" w:rsidRPr="00A86B21">
        <w:rPr>
          <w:b/>
          <w:lang w:val="en-GB"/>
        </w:rPr>
        <w:t xml:space="preserve"> </w:t>
      </w:r>
      <w:r w:rsidR="00202506" w:rsidRPr="00A86B21">
        <w:rPr>
          <w:lang w:val="en-GB"/>
        </w:rPr>
        <w:t>(i.e. spouse, persons of the family unit and minors)</w:t>
      </w:r>
      <w:r w:rsidR="00D33FFF" w:rsidRPr="00A86B21">
        <w:rPr>
          <w:lang w:val="en-GB"/>
        </w:rPr>
        <w:t xml:space="preserve"> may be granted temporary stay (</w:t>
      </w:r>
      <w:r w:rsidR="00D33FFF" w:rsidRPr="00A86B21">
        <w:rPr>
          <w:color w:val="000000"/>
          <w:lang w:val="en-GB" w:eastAsia="hr-HR"/>
        </w:rPr>
        <w:t>for the purpose of family reunification)</w:t>
      </w:r>
      <w:r w:rsidR="00202506" w:rsidRPr="00A86B21">
        <w:rPr>
          <w:lang w:val="en-GB"/>
        </w:rPr>
        <w:t xml:space="preserve"> if they meet the general requirements of Article 54 of the Aliens Act</w:t>
      </w:r>
      <w:r w:rsidR="008B15DD" w:rsidRPr="00A86B21">
        <w:rPr>
          <w:lang w:val="en-GB"/>
        </w:rPr>
        <w:t xml:space="preserve"> (see above under ‘</w:t>
      </w:r>
      <w:r w:rsidR="008B15DD" w:rsidRPr="00A86B21">
        <w:rPr>
          <w:i/>
          <w:lang w:val="en-GB"/>
        </w:rPr>
        <w:t>Conditions</w:t>
      </w:r>
      <w:r w:rsidR="008B15DD" w:rsidRPr="00A86B21">
        <w:rPr>
          <w:lang w:val="en-GB"/>
        </w:rPr>
        <w:t>’)</w:t>
      </w:r>
      <w:r w:rsidR="00202506" w:rsidRPr="00A86B21">
        <w:rPr>
          <w:lang w:val="en-GB"/>
        </w:rPr>
        <w:t>.</w:t>
      </w:r>
    </w:p>
    <w:p w14:paraId="47BFD857" w14:textId="77777777" w:rsidR="00D33FFF" w:rsidRPr="00A86B21" w:rsidRDefault="00D33FFF" w:rsidP="00DA7115">
      <w:pPr>
        <w:pStyle w:val="MMultilevel"/>
        <w:numPr>
          <w:ilvl w:val="0"/>
          <w:numId w:val="0"/>
        </w:numPr>
        <w:ind w:left="851"/>
        <w:rPr>
          <w:lang w:val="en-GB"/>
        </w:rPr>
      </w:pPr>
    </w:p>
    <w:p w14:paraId="6FB625FE" w14:textId="77777777" w:rsidR="00B24F5B" w:rsidRPr="00A86B21" w:rsidRDefault="00B24F5B" w:rsidP="00B24F5B">
      <w:pPr>
        <w:widowControl w:val="0"/>
        <w:spacing w:after="0" w:line="240" w:lineRule="auto"/>
        <w:jc w:val="both"/>
        <w:rPr>
          <w:rFonts w:eastAsia="Times New Roman"/>
          <w:bCs/>
          <w:i/>
          <w:color w:val="000000" w:themeColor="text1"/>
          <w:sz w:val="22"/>
          <w:szCs w:val="22"/>
          <w:u w:val="single"/>
          <w:lang w:eastAsia="fr-FR"/>
        </w:rPr>
      </w:pPr>
      <w:r w:rsidRPr="00A86B21">
        <w:rPr>
          <w:rFonts w:eastAsia="Times New Roman"/>
          <w:bCs/>
          <w:i/>
          <w:color w:val="000000" w:themeColor="text1"/>
          <w:sz w:val="22"/>
          <w:szCs w:val="22"/>
          <w:u w:val="single"/>
          <w:lang w:eastAsia="fr-FR"/>
        </w:rPr>
        <w:t>Monitoring of the proceedings and the authorities involved</w:t>
      </w:r>
    </w:p>
    <w:p w14:paraId="25DB5B72" w14:textId="384CD922" w:rsidR="00D33FFF" w:rsidRPr="00A86B21" w:rsidRDefault="00D33FFF" w:rsidP="00DA7115">
      <w:pPr>
        <w:pStyle w:val="MBT"/>
        <w:rPr>
          <w:lang w:val="en-GB"/>
        </w:rPr>
      </w:pPr>
      <w:r w:rsidRPr="00A86B21">
        <w:rPr>
          <w:lang w:val="en-GB"/>
        </w:rPr>
        <w:t xml:space="preserve">There is </w:t>
      </w:r>
      <w:r w:rsidRPr="00A86B21">
        <w:rPr>
          <w:b/>
          <w:lang w:val="en-GB"/>
        </w:rPr>
        <w:t xml:space="preserve">no cap/limit </w:t>
      </w:r>
      <w:r w:rsidRPr="00A86B21">
        <w:rPr>
          <w:lang w:val="en-GB"/>
        </w:rPr>
        <w:t xml:space="preserve">for the number of applicants under the </w:t>
      </w:r>
      <w:r w:rsidR="005F1CA0" w:rsidRPr="00A86B21">
        <w:rPr>
          <w:lang w:val="en-GB"/>
        </w:rPr>
        <w:t>i</w:t>
      </w:r>
      <w:r w:rsidRPr="00A86B21">
        <w:rPr>
          <w:lang w:val="en-GB"/>
        </w:rPr>
        <w:t>nvestors’ residence scheme.</w:t>
      </w:r>
    </w:p>
    <w:p w14:paraId="27D0A576" w14:textId="77777777" w:rsidR="00580FA2" w:rsidRPr="00A86B21" w:rsidRDefault="00580FA2" w:rsidP="00DA7115">
      <w:pPr>
        <w:pStyle w:val="MMultilevel"/>
        <w:numPr>
          <w:ilvl w:val="0"/>
          <w:numId w:val="0"/>
        </w:numPr>
        <w:rPr>
          <w:color w:val="000000"/>
          <w:lang w:val="en-GB" w:eastAsia="hr-HR"/>
        </w:rPr>
      </w:pPr>
    </w:p>
    <w:p w14:paraId="64964BFC" w14:textId="0E376D50" w:rsidR="00580FA2" w:rsidRPr="00A86B21" w:rsidRDefault="000730C2" w:rsidP="00DA7115">
      <w:pPr>
        <w:pStyle w:val="MMultilevel"/>
        <w:numPr>
          <w:ilvl w:val="0"/>
          <w:numId w:val="0"/>
        </w:numPr>
        <w:rPr>
          <w:color w:val="000000"/>
          <w:lang w:val="en-GB" w:eastAsia="hr-HR"/>
        </w:rPr>
      </w:pPr>
      <w:r w:rsidRPr="00A86B21">
        <w:rPr>
          <w:color w:val="000000"/>
          <w:lang w:val="en-GB" w:eastAsia="hr-HR"/>
        </w:rPr>
        <w:t xml:space="preserve">A system of scrutiny has not been established, however, </w:t>
      </w:r>
      <w:r w:rsidR="00202506" w:rsidRPr="00A86B21">
        <w:rPr>
          <w:lang w:val="en-GB"/>
        </w:rPr>
        <w:t xml:space="preserve">Chapter XIV of the Aliens Act </w:t>
      </w:r>
      <w:r w:rsidRPr="00A86B21">
        <w:rPr>
          <w:color w:val="000000"/>
          <w:lang w:val="en-GB" w:eastAsia="hr-HR"/>
        </w:rPr>
        <w:t xml:space="preserve">foresees the </w:t>
      </w:r>
      <w:r w:rsidRPr="00A86B21">
        <w:rPr>
          <w:b/>
          <w:lang w:val="en-GB"/>
        </w:rPr>
        <w:t xml:space="preserve">inspection and administrative supervision </w:t>
      </w:r>
      <w:r w:rsidRPr="00A86B21">
        <w:rPr>
          <w:lang w:val="en-GB"/>
        </w:rPr>
        <w:t xml:space="preserve">of the implementation of </w:t>
      </w:r>
      <w:r w:rsidR="00202506" w:rsidRPr="00A86B21">
        <w:rPr>
          <w:lang w:val="en-GB"/>
        </w:rPr>
        <w:t>the Act, including the supervision of the provisions related to the temporary residence and work of a third-country national</w:t>
      </w:r>
      <w:r w:rsidR="00C818E6" w:rsidRPr="00A86B21">
        <w:rPr>
          <w:lang w:val="en-GB"/>
        </w:rPr>
        <w:t xml:space="preserve">. </w:t>
      </w:r>
      <w:r w:rsidR="00202506" w:rsidRPr="00A86B21">
        <w:rPr>
          <w:lang w:val="en-GB"/>
        </w:rPr>
        <w:t xml:space="preserve">These monitoring actions </w:t>
      </w:r>
      <w:r w:rsidR="00C818E6" w:rsidRPr="00A86B21">
        <w:rPr>
          <w:lang w:val="en-GB"/>
        </w:rPr>
        <w:t>are carried out by th</w:t>
      </w:r>
      <w:r w:rsidR="00C818E6" w:rsidRPr="00A86B21">
        <w:rPr>
          <w:lang w:val="en-GB" w:eastAsia="hr-HR"/>
        </w:rPr>
        <w:t>e Ministry of the Interior.</w:t>
      </w:r>
    </w:p>
    <w:p w14:paraId="51D8E1B8" w14:textId="58F5F2CC" w:rsidR="00580FA2" w:rsidRPr="00A86B21" w:rsidRDefault="00580FA2" w:rsidP="00DA7115">
      <w:pPr>
        <w:pStyle w:val="MMultilevel"/>
        <w:numPr>
          <w:ilvl w:val="0"/>
          <w:numId w:val="0"/>
        </w:numPr>
        <w:rPr>
          <w:color w:val="000000"/>
          <w:lang w:val="en-GB" w:eastAsia="hr-HR"/>
        </w:rPr>
      </w:pPr>
    </w:p>
    <w:p w14:paraId="6E70592B" w14:textId="0AA219F0" w:rsidR="00B24F5B" w:rsidRPr="00A86B21" w:rsidRDefault="00B24F5B" w:rsidP="00DA7115">
      <w:pPr>
        <w:pStyle w:val="MMultilevel"/>
        <w:numPr>
          <w:ilvl w:val="0"/>
          <w:numId w:val="0"/>
        </w:numPr>
        <w:rPr>
          <w:i/>
          <w:u w:val="single"/>
          <w:lang w:val="en-GB"/>
        </w:rPr>
      </w:pPr>
      <w:r w:rsidRPr="00A86B21">
        <w:rPr>
          <w:i/>
          <w:u w:val="single"/>
          <w:lang w:val="en-GB"/>
        </w:rPr>
        <w:lastRenderedPageBreak/>
        <w:t>Rights</w:t>
      </w:r>
    </w:p>
    <w:p w14:paraId="2A43191E" w14:textId="482523CD" w:rsidR="00B6334B" w:rsidRPr="00A86B21" w:rsidRDefault="00A076F4" w:rsidP="00DA7115">
      <w:pPr>
        <w:pStyle w:val="MMultilevel"/>
        <w:numPr>
          <w:ilvl w:val="0"/>
          <w:numId w:val="0"/>
        </w:numPr>
        <w:rPr>
          <w:lang w:val="en-GB" w:eastAsia="hr-HR"/>
        </w:rPr>
      </w:pPr>
      <w:r w:rsidRPr="00A86B21">
        <w:rPr>
          <w:color w:val="000000"/>
          <w:lang w:val="en-GB" w:eastAsia="hr-HR"/>
        </w:rPr>
        <w:t xml:space="preserve">The </w:t>
      </w:r>
      <w:r w:rsidRPr="00A86B21">
        <w:rPr>
          <w:b/>
          <w:color w:val="000000"/>
          <w:lang w:val="en-GB" w:eastAsia="hr-HR"/>
        </w:rPr>
        <w:t>rights</w:t>
      </w:r>
      <w:r w:rsidRPr="00A86B21">
        <w:rPr>
          <w:color w:val="000000"/>
          <w:lang w:val="en-GB" w:eastAsia="hr-HR"/>
        </w:rPr>
        <w:t xml:space="preserve"> granted by the residence permit to the investor are the </w:t>
      </w:r>
      <w:r w:rsidRPr="00A86B21">
        <w:rPr>
          <w:lang w:val="en-GB" w:eastAsia="hr-HR"/>
        </w:rPr>
        <w:t>right to work (employed or self-employed);</w:t>
      </w:r>
      <w:r w:rsidRPr="00A86B21">
        <w:rPr>
          <w:color w:val="000000"/>
          <w:lang w:val="en-GB" w:eastAsia="hr-HR"/>
        </w:rPr>
        <w:t xml:space="preserve"> </w:t>
      </w:r>
      <w:r w:rsidRPr="00A86B21">
        <w:rPr>
          <w:lang w:val="en-GB" w:eastAsia="hr-HR"/>
        </w:rPr>
        <w:t xml:space="preserve">professional development; education and student scholarships; social welfare, rights arising from pension, health insurance and the right to child allowance; tax benefits; access to </w:t>
      </w:r>
      <w:r w:rsidR="005F1CA0" w:rsidRPr="00A86B21">
        <w:rPr>
          <w:lang w:val="en-GB" w:eastAsia="hr-HR"/>
        </w:rPr>
        <w:t>goods and services</w:t>
      </w:r>
      <w:r w:rsidRPr="00A86B21">
        <w:rPr>
          <w:color w:val="000000"/>
          <w:lang w:val="en-GB" w:eastAsia="hr-HR"/>
        </w:rPr>
        <w:t xml:space="preserve">; </w:t>
      </w:r>
      <w:r w:rsidRPr="00A86B21">
        <w:rPr>
          <w:lang w:val="en-GB" w:eastAsia="hr-HR"/>
        </w:rPr>
        <w:t xml:space="preserve">freedom of association and freedom to connect and to be a member in organisations representing employees or employers or organisations whose members are engaged in special professions, including to remuneration provided by such organisations. </w:t>
      </w:r>
      <w:r w:rsidRPr="00A86B21">
        <w:rPr>
          <w:color w:val="000000"/>
          <w:lang w:val="en-GB" w:eastAsia="hr-HR"/>
        </w:rPr>
        <w:t xml:space="preserve">They </w:t>
      </w:r>
      <w:r w:rsidRPr="00A86B21">
        <w:rPr>
          <w:color w:val="000000"/>
          <w:lang w:val="en-GB"/>
        </w:rPr>
        <w:t>are also entitled to recognition of their diplomas and professional qualifications, as well as to consulting services provided by the employment offices according to special regulations. The</w:t>
      </w:r>
      <w:r w:rsidRPr="00A86B21">
        <w:rPr>
          <w:b/>
          <w:color w:val="000000"/>
          <w:lang w:val="en-GB"/>
        </w:rPr>
        <w:t xml:space="preserve"> investors’ family members</w:t>
      </w:r>
      <w:r w:rsidRPr="00A86B21">
        <w:rPr>
          <w:color w:val="000000"/>
          <w:lang w:val="en-GB"/>
        </w:rPr>
        <w:t xml:space="preserve"> </w:t>
      </w:r>
      <w:r w:rsidRPr="00A86B21">
        <w:rPr>
          <w:color w:val="000000"/>
          <w:lang w:val="en-GB" w:eastAsia="hr-HR"/>
        </w:rPr>
        <w:t>benefit from a right to education, professional development, work and self-employment.</w:t>
      </w:r>
      <w:r w:rsidR="00D36633" w:rsidRPr="00A86B21">
        <w:rPr>
          <w:color w:val="000000"/>
          <w:lang w:val="en-GB" w:eastAsia="hr-HR"/>
        </w:rPr>
        <w:t xml:space="preserve"> No other benefits are granted to foreign investors and/or their family members.</w:t>
      </w:r>
    </w:p>
    <w:p w14:paraId="392CE17E" w14:textId="5A57DFB9" w:rsidR="00D137C2" w:rsidRPr="00A86B21" w:rsidRDefault="00D137C2" w:rsidP="00A86B21">
      <w:pPr>
        <w:pStyle w:val="MMultilevel"/>
        <w:numPr>
          <w:ilvl w:val="0"/>
          <w:numId w:val="0"/>
        </w:numPr>
        <w:rPr>
          <w:b/>
          <w:i/>
          <w:lang w:val="en-GB"/>
        </w:rPr>
      </w:pPr>
      <w:bookmarkStart w:id="0" w:name="_Hlk512356075"/>
    </w:p>
    <w:bookmarkEnd w:id="0"/>
    <w:p w14:paraId="5D697C81" w14:textId="01BB4878" w:rsidR="00D8511D" w:rsidRPr="00A86B21" w:rsidRDefault="005C656C" w:rsidP="00A86B21">
      <w:pPr>
        <w:spacing w:after="0" w:line="240" w:lineRule="auto"/>
        <w:jc w:val="both"/>
        <w:rPr>
          <w:b/>
          <w:i/>
          <w:sz w:val="22"/>
          <w:szCs w:val="22"/>
        </w:rPr>
      </w:pPr>
      <w:r w:rsidRPr="00A86B21">
        <w:rPr>
          <w:b/>
          <w:i/>
          <w:sz w:val="22"/>
          <w:szCs w:val="22"/>
        </w:rPr>
        <w:t>Other matters</w:t>
      </w:r>
    </w:p>
    <w:p w14:paraId="08D7D1FA" w14:textId="77777777" w:rsidR="0086028B" w:rsidRPr="00A86B21" w:rsidRDefault="0086028B" w:rsidP="00A86B21">
      <w:pPr>
        <w:spacing w:after="0" w:line="240" w:lineRule="auto"/>
        <w:jc w:val="both"/>
        <w:rPr>
          <w:b/>
          <w:i/>
          <w:sz w:val="22"/>
          <w:szCs w:val="22"/>
        </w:rPr>
      </w:pPr>
    </w:p>
    <w:p w14:paraId="651D8826" w14:textId="77777777" w:rsidR="00B24F5B" w:rsidRPr="00A86B21" w:rsidRDefault="00B24F5B" w:rsidP="00B24F5B">
      <w:pPr>
        <w:spacing w:after="0" w:line="240" w:lineRule="auto"/>
        <w:jc w:val="both"/>
        <w:rPr>
          <w:i/>
          <w:sz w:val="22"/>
          <w:szCs w:val="22"/>
          <w:u w:val="single"/>
        </w:rPr>
      </w:pPr>
      <w:r w:rsidRPr="00A86B21">
        <w:rPr>
          <w:i/>
          <w:sz w:val="22"/>
          <w:szCs w:val="22"/>
          <w:u w:val="single"/>
        </w:rPr>
        <w:t>Link with citizenship</w:t>
      </w:r>
    </w:p>
    <w:p w14:paraId="46F65DEA" w14:textId="3AE87396" w:rsidR="00B14957" w:rsidRPr="00A86B21" w:rsidRDefault="007967EC" w:rsidP="00DA7115">
      <w:pPr>
        <w:pStyle w:val="MMultilevel"/>
        <w:numPr>
          <w:ilvl w:val="0"/>
          <w:numId w:val="0"/>
        </w:numPr>
        <w:rPr>
          <w:lang w:val="en-GB"/>
        </w:rPr>
      </w:pPr>
      <w:r w:rsidRPr="00A86B21">
        <w:rPr>
          <w:lang w:val="en-GB"/>
        </w:rPr>
        <w:t xml:space="preserve">There is </w:t>
      </w:r>
      <w:r w:rsidRPr="00A86B21">
        <w:rPr>
          <w:b/>
          <w:lang w:val="en-GB"/>
        </w:rPr>
        <w:t xml:space="preserve">no specific route </w:t>
      </w:r>
      <w:r w:rsidRPr="00A86B21">
        <w:rPr>
          <w:lang w:val="en-GB"/>
        </w:rPr>
        <w:t>for investors to apply for</w:t>
      </w:r>
      <w:r w:rsidRPr="00A86B21">
        <w:rPr>
          <w:b/>
          <w:lang w:val="en-GB"/>
        </w:rPr>
        <w:t xml:space="preserve"> citizenship</w:t>
      </w:r>
      <w:r w:rsidR="00FB3F54" w:rsidRPr="00A86B21">
        <w:rPr>
          <w:lang w:val="en-GB"/>
        </w:rPr>
        <w:t>. They</w:t>
      </w:r>
      <w:r w:rsidRPr="00A86B21">
        <w:rPr>
          <w:lang w:val="en-GB"/>
        </w:rPr>
        <w:t xml:space="preserve"> can apply for citizenship through the general naturalisation procedure set ou</w:t>
      </w:r>
      <w:r w:rsidR="00FB3F54" w:rsidRPr="00A86B21">
        <w:rPr>
          <w:lang w:val="en-GB"/>
        </w:rPr>
        <w:t xml:space="preserve">t in the </w:t>
      </w:r>
      <w:r w:rsidR="00F86487" w:rsidRPr="00A86B21">
        <w:rPr>
          <w:lang w:val="en-GB"/>
        </w:rPr>
        <w:t xml:space="preserve">1991 </w:t>
      </w:r>
      <w:r w:rsidR="00FB3F54" w:rsidRPr="00A86B21">
        <w:rPr>
          <w:lang w:val="en-GB"/>
        </w:rPr>
        <w:t xml:space="preserve">Law on </w:t>
      </w:r>
      <w:r w:rsidR="00F86487" w:rsidRPr="00A86B21">
        <w:rPr>
          <w:lang w:val="en-GB"/>
        </w:rPr>
        <w:t xml:space="preserve">Croatian </w:t>
      </w:r>
      <w:r w:rsidR="00FB3F54" w:rsidRPr="00A86B21">
        <w:rPr>
          <w:lang w:val="en-GB"/>
        </w:rPr>
        <w:t>Citizenship</w:t>
      </w:r>
      <w:r w:rsidR="00B14957" w:rsidRPr="00A86B21">
        <w:rPr>
          <w:lang w:val="en-GB"/>
        </w:rPr>
        <w:t xml:space="preserve"> which requires that the foreigner:</w:t>
      </w:r>
      <w:r w:rsidR="005F1CA0" w:rsidRPr="00A86B21">
        <w:rPr>
          <w:lang w:val="en-GB"/>
        </w:rPr>
        <w:t xml:space="preserve"> </w:t>
      </w:r>
      <w:r w:rsidR="00B14957" w:rsidRPr="00A86B21">
        <w:rPr>
          <w:lang w:val="en-GB"/>
        </w:rPr>
        <w:t>is 18 years old and is not deprived of working capacity; has relinquished foreign citizenship, or that s/he submits proof that s/he will relinquish it if granted Croatian citizenship; has lived and has had a registered residence in Croatia until the submission of the request for at least eight continuous years and has be</w:t>
      </w:r>
      <w:bookmarkStart w:id="1" w:name="_GoBack"/>
      <w:bookmarkEnd w:id="1"/>
      <w:r w:rsidR="00B14957" w:rsidRPr="00A86B21">
        <w:rPr>
          <w:lang w:val="en-GB"/>
        </w:rPr>
        <w:t>en granted permanent residence;</w:t>
      </w:r>
      <w:r w:rsidR="005F1CA0" w:rsidRPr="00A86B21">
        <w:rPr>
          <w:lang w:val="en-GB"/>
        </w:rPr>
        <w:t xml:space="preserve"> </w:t>
      </w:r>
      <w:r w:rsidR="00B14957" w:rsidRPr="00A86B21">
        <w:rPr>
          <w:lang w:val="en-GB"/>
        </w:rPr>
        <w:t>is proficient in the Croatian language and Latin script, and is familiar with the Croatian</w:t>
      </w:r>
      <w:r w:rsidR="005F1CA0" w:rsidRPr="00A86B21">
        <w:rPr>
          <w:lang w:val="en-GB"/>
        </w:rPr>
        <w:t xml:space="preserve"> culture and social arrangement; </w:t>
      </w:r>
      <w:r w:rsidR="00B14957" w:rsidRPr="00A86B21">
        <w:rPr>
          <w:lang w:val="en-GB"/>
        </w:rPr>
        <w:t>that it can be concluded from their behaviour that they respect the legal order and customs of Croatia.</w:t>
      </w:r>
    </w:p>
    <w:p w14:paraId="6F6C5A5F" w14:textId="0C6033B7" w:rsidR="00F86487" w:rsidRPr="00A86B21" w:rsidRDefault="00F86487" w:rsidP="00DA7115">
      <w:pPr>
        <w:pStyle w:val="MMultilevel"/>
        <w:numPr>
          <w:ilvl w:val="0"/>
          <w:numId w:val="0"/>
        </w:numPr>
        <w:rPr>
          <w:lang w:val="en-GB"/>
        </w:rPr>
      </w:pPr>
    </w:p>
    <w:p w14:paraId="61AC99B1" w14:textId="7127727E" w:rsidR="00B24F5B" w:rsidRPr="00A86B21" w:rsidRDefault="00B24F5B" w:rsidP="00DA7115">
      <w:pPr>
        <w:pStyle w:val="MMultilevel"/>
        <w:numPr>
          <w:ilvl w:val="0"/>
          <w:numId w:val="0"/>
        </w:numPr>
        <w:rPr>
          <w:i/>
          <w:u w:val="single"/>
          <w:lang w:val="en-GB"/>
        </w:rPr>
      </w:pPr>
      <w:r w:rsidRPr="00A86B21">
        <w:rPr>
          <w:i/>
          <w:u w:val="single"/>
          <w:lang w:val="en-GB"/>
        </w:rPr>
        <w:t>Statistics and economic impact</w:t>
      </w:r>
    </w:p>
    <w:p w14:paraId="591714D1" w14:textId="69F868D9" w:rsidR="00F86487" w:rsidRPr="00A86B21" w:rsidRDefault="00F86487" w:rsidP="00DA7115">
      <w:pPr>
        <w:pStyle w:val="MBT"/>
        <w:rPr>
          <w:lang w:val="en-GB"/>
        </w:rPr>
      </w:pPr>
      <w:r w:rsidRPr="00A86B21">
        <w:rPr>
          <w:lang w:val="en-GB"/>
        </w:rPr>
        <w:t xml:space="preserve">The Croatian legislation does not establish any mechanism to monitor the </w:t>
      </w:r>
      <w:r w:rsidRPr="00A86B21">
        <w:rPr>
          <w:b/>
          <w:lang w:val="en-GB"/>
        </w:rPr>
        <w:t>economic impact and financial revenues</w:t>
      </w:r>
      <w:r w:rsidRPr="00A86B21">
        <w:rPr>
          <w:lang w:val="en-GB"/>
        </w:rPr>
        <w:t xml:space="preserve"> of investors who have been granted residence.</w:t>
      </w:r>
      <w:r w:rsidR="00B14957" w:rsidRPr="00A86B21">
        <w:rPr>
          <w:bCs w:val="0"/>
          <w:sz w:val="24"/>
          <w:szCs w:val="24"/>
          <w:lang w:val="en-GB"/>
        </w:rPr>
        <w:t xml:space="preserve"> </w:t>
      </w:r>
      <w:r w:rsidR="00B14957" w:rsidRPr="00A86B21">
        <w:rPr>
          <w:lang w:val="en-GB"/>
        </w:rPr>
        <w:t>There is no publicly available information or studies carried out to assess the economic and financial efficiency of residence schemes. The national stakeholder</w:t>
      </w:r>
      <w:r w:rsidR="005F1CA0" w:rsidRPr="00A86B21">
        <w:rPr>
          <w:lang w:val="en-GB"/>
        </w:rPr>
        <w:t xml:space="preserve"> consulted</w:t>
      </w:r>
      <w:r w:rsidR="00B14957" w:rsidRPr="00A86B21">
        <w:rPr>
          <w:lang w:val="en-GB"/>
        </w:rPr>
        <w:t>, the Ministry of the Interior</w:t>
      </w:r>
      <w:r w:rsidR="005F1CA0" w:rsidRPr="00A86B21">
        <w:rPr>
          <w:lang w:val="en-GB"/>
        </w:rPr>
        <w:t>,</w:t>
      </w:r>
      <w:r w:rsidR="00B14957" w:rsidRPr="00A86B21">
        <w:rPr>
          <w:vertAlign w:val="superscript"/>
          <w:lang w:val="en-GB"/>
        </w:rPr>
        <w:footnoteReference w:id="20"/>
      </w:r>
      <w:r w:rsidR="00B14957" w:rsidRPr="00A86B21">
        <w:rPr>
          <w:lang w:val="en-GB"/>
        </w:rPr>
        <w:t xml:space="preserve"> confirmed that the economic and financial efficiency of the Croatian investors’ residence scheme has not been analysed. The impact of this scheme </w:t>
      </w:r>
      <w:r w:rsidR="005F1CA0" w:rsidRPr="00A86B21">
        <w:rPr>
          <w:lang w:val="en-GB"/>
        </w:rPr>
        <w:t>o</w:t>
      </w:r>
      <w:r w:rsidR="00B14957" w:rsidRPr="00A86B21">
        <w:rPr>
          <w:lang w:val="en-GB"/>
        </w:rPr>
        <w:t xml:space="preserve">n the Croatian economy (e.g. in terms of job creation, investment in Croatian companies and, thus, increase of productivity and competitiveness) remains unknown. </w:t>
      </w:r>
      <w:r w:rsidRPr="00A86B21">
        <w:rPr>
          <w:lang w:val="en-GB"/>
        </w:rPr>
        <w:t xml:space="preserve"> </w:t>
      </w:r>
    </w:p>
    <w:p w14:paraId="2A57C1AD" w14:textId="77777777" w:rsidR="00F86487" w:rsidRPr="00A86B21" w:rsidRDefault="00F86487" w:rsidP="00DA7115">
      <w:pPr>
        <w:pStyle w:val="MBT"/>
        <w:rPr>
          <w:lang w:val="en-GB"/>
        </w:rPr>
      </w:pPr>
    </w:p>
    <w:p w14:paraId="03ADE63D" w14:textId="531D2A34" w:rsidR="00F86487" w:rsidRPr="00A86B21" w:rsidRDefault="00F86487" w:rsidP="00DA7115">
      <w:pPr>
        <w:pStyle w:val="MBT"/>
        <w:rPr>
          <w:lang w:val="en-GB"/>
        </w:rPr>
      </w:pPr>
      <w:r w:rsidRPr="00A86B21">
        <w:rPr>
          <w:lang w:val="en-GB"/>
        </w:rPr>
        <w:t xml:space="preserve">According to the official database of the Ministry of the Interior, there were two </w:t>
      </w:r>
      <w:r w:rsidRPr="00A86B21">
        <w:rPr>
          <w:b/>
          <w:lang w:val="en-GB"/>
        </w:rPr>
        <w:t>requests for residence by investors</w:t>
      </w:r>
      <w:r w:rsidRPr="00A86B21">
        <w:rPr>
          <w:lang w:val="en-GB"/>
        </w:rPr>
        <w:t xml:space="preserve"> in 2017 and both of them were successful. </w:t>
      </w:r>
      <w:r w:rsidR="00B14957" w:rsidRPr="00A86B21">
        <w:rPr>
          <w:lang w:val="en-GB"/>
        </w:rPr>
        <w:t>No</w:t>
      </w:r>
      <w:r w:rsidRPr="00A86B21">
        <w:rPr>
          <w:lang w:val="en-GB"/>
        </w:rPr>
        <w:t xml:space="preserve"> requests</w:t>
      </w:r>
      <w:r w:rsidR="00B14957" w:rsidRPr="00A86B21">
        <w:rPr>
          <w:lang w:val="en-GB"/>
        </w:rPr>
        <w:t xml:space="preserve"> were made</w:t>
      </w:r>
      <w:r w:rsidRPr="00A86B21">
        <w:rPr>
          <w:lang w:val="en-GB"/>
        </w:rPr>
        <w:t xml:space="preserve"> in the period between 2012-2016.</w:t>
      </w:r>
    </w:p>
    <w:p w14:paraId="2AD3E7F9" w14:textId="77777777" w:rsidR="00F86487" w:rsidRPr="00A86B21" w:rsidRDefault="00F86487" w:rsidP="00DA7115">
      <w:pPr>
        <w:pStyle w:val="MMultilevel"/>
        <w:numPr>
          <w:ilvl w:val="0"/>
          <w:numId w:val="0"/>
        </w:numPr>
        <w:rPr>
          <w:lang w:val="en-GB"/>
        </w:rPr>
      </w:pPr>
    </w:p>
    <w:p w14:paraId="07F8B0BA" w14:textId="6AA081D8" w:rsidR="002177B9" w:rsidRPr="00A86B21" w:rsidRDefault="002177B9" w:rsidP="00DA7115">
      <w:pPr>
        <w:spacing w:after="0" w:line="240" w:lineRule="auto"/>
        <w:jc w:val="both"/>
        <w:rPr>
          <w:b/>
          <w:i/>
          <w:sz w:val="22"/>
          <w:szCs w:val="22"/>
        </w:rPr>
      </w:pPr>
    </w:p>
    <w:sectPr w:rsidR="002177B9" w:rsidRPr="00A86B21" w:rsidSect="008B15DD">
      <w:footerReference w:type="default" r:id="rId8"/>
      <w:pgSz w:w="11906" w:h="16838"/>
      <w:pgMar w:top="1440" w:right="1440" w:bottom="1440" w:left="1440" w:header="708" w:footer="708" w:gutter="0"/>
      <w:pgNumType w:fmt="lowerRoman"/>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233394" w14:textId="77777777" w:rsidR="00B36CEA" w:rsidRDefault="00B36CEA" w:rsidP="00F07192">
      <w:pPr>
        <w:spacing w:after="0" w:line="240" w:lineRule="auto"/>
      </w:pPr>
      <w:r>
        <w:separator/>
      </w:r>
    </w:p>
  </w:endnote>
  <w:endnote w:type="continuationSeparator" w:id="0">
    <w:p w14:paraId="5870881D" w14:textId="77777777" w:rsidR="00B36CEA" w:rsidRDefault="00B36CEA" w:rsidP="00F07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w:altName w:val="Calibr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5A15F" w14:textId="77777777" w:rsidR="008B15DD" w:rsidRPr="008B15DD" w:rsidRDefault="008B15DD" w:rsidP="008B15DD">
    <w:pPr>
      <w:tabs>
        <w:tab w:val="center" w:pos="4536"/>
        <w:tab w:val="right" w:pos="9072"/>
      </w:tabs>
      <w:spacing w:after="0" w:line="240" w:lineRule="auto"/>
      <w:ind w:right="360"/>
      <w:rPr>
        <w:rFonts w:eastAsia="Times New Roman"/>
        <w:sz w:val="24"/>
        <w:szCs w:val="24"/>
        <w:lang w:eastAsia="fr-FR"/>
      </w:rPr>
    </w:pPr>
  </w:p>
  <w:tbl>
    <w:tblPr>
      <w:tblW w:w="4908" w:type="pct"/>
      <w:tblBorders>
        <w:top w:val="single" w:sz="4" w:space="0" w:color="auto"/>
      </w:tblBorders>
      <w:tblLook w:val="01E0" w:firstRow="1" w:lastRow="1" w:firstColumn="1" w:lastColumn="1" w:noHBand="0" w:noVBand="0"/>
    </w:tblPr>
    <w:tblGrid>
      <w:gridCol w:w="2128"/>
      <w:gridCol w:w="6732"/>
    </w:tblGrid>
    <w:tr w:rsidR="008B15DD" w:rsidRPr="008B15DD" w14:paraId="4016A918" w14:textId="77777777" w:rsidTr="00E5137B">
      <w:trPr>
        <w:trHeight w:val="379"/>
      </w:trPr>
      <w:tc>
        <w:tcPr>
          <w:tcW w:w="1201" w:type="pct"/>
          <w:tcBorders>
            <w:top w:val="single" w:sz="4" w:space="0" w:color="auto"/>
          </w:tcBorders>
        </w:tcPr>
        <w:p w14:paraId="20FC8C3C" w14:textId="77777777" w:rsidR="008B15DD" w:rsidRPr="008B15DD" w:rsidRDefault="008B15DD" w:rsidP="008B15DD">
          <w:pPr>
            <w:tabs>
              <w:tab w:val="left" w:pos="1212"/>
            </w:tabs>
            <w:spacing w:after="0" w:line="240" w:lineRule="auto"/>
            <w:ind w:right="360"/>
            <w:rPr>
              <w:rFonts w:eastAsia="Times New Roman"/>
              <w:i/>
              <w:szCs w:val="24"/>
              <w:lang w:eastAsia="fr-FR"/>
            </w:rPr>
          </w:pPr>
          <w:r w:rsidRPr="008B15DD">
            <w:rPr>
              <w:rFonts w:eastAsia="Times New Roman"/>
              <w:i/>
              <w:szCs w:val="24"/>
              <w:lang w:eastAsia="fr-FR"/>
            </w:rPr>
            <w:t xml:space="preserve">Milieu Ltd </w:t>
          </w:r>
        </w:p>
        <w:p w14:paraId="139CA1A8" w14:textId="3902C760" w:rsidR="008B15DD" w:rsidRPr="008B15DD" w:rsidRDefault="008B15DD" w:rsidP="008B15DD">
          <w:pPr>
            <w:tabs>
              <w:tab w:val="center" w:pos="4153"/>
              <w:tab w:val="right" w:pos="8306"/>
            </w:tabs>
            <w:spacing w:after="0" w:line="240" w:lineRule="auto"/>
            <w:ind w:right="360"/>
            <w:rPr>
              <w:rFonts w:eastAsia="Times New Roman"/>
              <w:i/>
              <w:szCs w:val="24"/>
              <w:lang w:eastAsia="fr-FR"/>
            </w:rPr>
          </w:pPr>
          <w:r w:rsidRPr="008B15DD">
            <w:rPr>
              <w:rFonts w:eastAsia="Times New Roman"/>
              <w:i/>
              <w:szCs w:val="24"/>
              <w:lang w:eastAsia="fr-FR"/>
            </w:rPr>
            <w:t>Brussels, Ju</w:t>
          </w:r>
          <w:r w:rsidR="00F17EE4">
            <w:rPr>
              <w:rFonts w:eastAsia="Times New Roman"/>
              <w:i/>
              <w:szCs w:val="24"/>
              <w:lang w:eastAsia="fr-FR"/>
            </w:rPr>
            <w:t>ly</w:t>
          </w:r>
          <w:r w:rsidRPr="008B15DD">
            <w:rPr>
              <w:rFonts w:eastAsia="Times New Roman"/>
              <w:i/>
              <w:szCs w:val="24"/>
              <w:lang w:eastAsia="fr-FR"/>
            </w:rPr>
            <w:t xml:space="preserve"> 2018</w:t>
          </w:r>
        </w:p>
      </w:tc>
      <w:tc>
        <w:tcPr>
          <w:tcW w:w="3799" w:type="pct"/>
          <w:tcBorders>
            <w:top w:val="single" w:sz="4" w:space="0" w:color="auto"/>
          </w:tcBorders>
        </w:tcPr>
        <w:p w14:paraId="7AF264EC" w14:textId="04A816AC" w:rsidR="008B15DD" w:rsidRPr="008B15DD" w:rsidRDefault="008B15DD" w:rsidP="008B15DD">
          <w:pPr>
            <w:tabs>
              <w:tab w:val="center" w:pos="4153"/>
              <w:tab w:val="right" w:pos="8306"/>
            </w:tabs>
            <w:spacing w:after="0" w:line="240" w:lineRule="auto"/>
            <w:ind w:right="19"/>
            <w:jc w:val="right"/>
            <w:rPr>
              <w:rFonts w:eastAsia="Times New Roman"/>
              <w:i/>
              <w:szCs w:val="24"/>
              <w:lang w:eastAsia="fr-FR"/>
            </w:rPr>
          </w:pPr>
          <w:r>
            <w:rPr>
              <w:rFonts w:eastAsia="Times New Roman"/>
              <w:i/>
              <w:szCs w:val="24"/>
              <w:lang w:eastAsia="fr-FR"/>
            </w:rPr>
            <w:t>Executive Summary</w:t>
          </w:r>
          <w:r w:rsidRPr="008B15DD">
            <w:rPr>
              <w:rFonts w:eastAsia="Times New Roman"/>
              <w:i/>
              <w:szCs w:val="24"/>
              <w:lang w:eastAsia="fr-FR"/>
            </w:rPr>
            <w:t xml:space="preserve"> – Investors’ Residence Schemes in Croatia/</w:t>
          </w:r>
          <w:r w:rsidRPr="008B15DD">
            <w:rPr>
              <w:rFonts w:eastAsia="Times New Roman"/>
              <w:i/>
              <w:szCs w:val="24"/>
              <w:lang w:eastAsia="fr-FR"/>
            </w:rPr>
            <w:fldChar w:fldCharType="begin"/>
          </w:r>
          <w:r w:rsidRPr="008B15DD">
            <w:rPr>
              <w:rFonts w:eastAsia="Times New Roman"/>
              <w:i/>
              <w:szCs w:val="24"/>
              <w:lang w:eastAsia="fr-FR"/>
            </w:rPr>
            <w:instrText xml:space="preserve"> PAGE   \* MERGEFORMAT </w:instrText>
          </w:r>
          <w:r w:rsidRPr="008B15DD">
            <w:rPr>
              <w:rFonts w:eastAsia="Times New Roman"/>
              <w:i/>
              <w:szCs w:val="24"/>
              <w:lang w:eastAsia="fr-FR"/>
            </w:rPr>
            <w:fldChar w:fldCharType="separate"/>
          </w:r>
          <w:r w:rsidRPr="008B15DD">
            <w:rPr>
              <w:rFonts w:eastAsia="Times New Roman"/>
              <w:i/>
              <w:noProof/>
              <w:szCs w:val="24"/>
              <w:lang w:eastAsia="fr-FR"/>
            </w:rPr>
            <w:t>12</w:t>
          </w:r>
          <w:r w:rsidRPr="008B15DD">
            <w:rPr>
              <w:rFonts w:eastAsia="Times New Roman"/>
              <w:i/>
              <w:szCs w:val="24"/>
              <w:lang w:eastAsia="fr-FR"/>
            </w:rPr>
            <w:fldChar w:fldCharType="end"/>
          </w:r>
        </w:p>
      </w:tc>
    </w:tr>
  </w:tbl>
  <w:p w14:paraId="4061E532" w14:textId="77777777" w:rsidR="008B15DD" w:rsidRPr="008B15DD" w:rsidRDefault="008B15DD" w:rsidP="008B15DD">
    <w:pPr>
      <w:tabs>
        <w:tab w:val="center" w:pos="4536"/>
        <w:tab w:val="right" w:pos="9072"/>
      </w:tabs>
      <w:spacing w:after="0" w:line="240" w:lineRule="auto"/>
      <w:ind w:right="360"/>
      <w:rPr>
        <w:rFonts w:eastAsia="Times New Roman"/>
        <w:sz w:val="24"/>
        <w:szCs w:val="24"/>
        <w:lang w:eastAsia="fr-FR"/>
      </w:rPr>
    </w:pPr>
  </w:p>
  <w:p w14:paraId="1F04FEA9" w14:textId="77777777" w:rsidR="008B15DD" w:rsidRDefault="008B15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EAFE9F" w14:textId="77777777" w:rsidR="00B36CEA" w:rsidRDefault="00B36CEA" w:rsidP="00F07192">
      <w:pPr>
        <w:spacing w:after="0" w:line="240" w:lineRule="auto"/>
      </w:pPr>
      <w:r>
        <w:separator/>
      </w:r>
    </w:p>
  </w:footnote>
  <w:footnote w:type="continuationSeparator" w:id="0">
    <w:p w14:paraId="042FE60B" w14:textId="77777777" w:rsidR="00B36CEA" w:rsidRDefault="00B36CEA" w:rsidP="00F07192">
      <w:pPr>
        <w:spacing w:after="0" w:line="240" w:lineRule="auto"/>
      </w:pPr>
      <w:r>
        <w:continuationSeparator/>
      </w:r>
    </w:p>
  </w:footnote>
  <w:footnote w:id="1">
    <w:p w14:paraId="40D6B22E" w14:textId="2F57DFC0" w:rsidR="00AA11E2" w:rsidRPr="00A86B21" w:rsidRDefault="00AA11E2" w:rsidP="00AA11E2">
      <w:pPr>
        <w:pStyle w:val="FootnoteText"/>
        <w:rPr>
          <w:szCs w:val="18"/>
        </w:rPr>
      </w:pPr>
      <w:r w:rsidRPr="00A86B21">
        <w:rPr>
          <w:rStyle w:val="FootnoteReference"/>
        </w:rPr>
        <w:footnoteRef/>
      </w:r>
      <w:r w:rsidRPr="00A86B21">
        <w:t xml:space="preserve"> </w:t>
      </w:r>
      <w:r w:rsidRPr="00A86B21">
        <w:rPr>
          <w:bCs/>
          <w:szCs w:val="18"/>
        </w:rPr>
        <w:t>Aliens Act (</w:t>
      </w:r>
      <w:r w:rsidRPr="00A86B21">
        <w:rPr>
          <w:bCs/>
          <w:i/>
          <w:szCs w:val="18"/>
        </w:rPr>
        <w:t>Zakon o strancima</w:t>
      </w:r>
      <w:r w:rsidRPr="00A86B21">
        <w:rPr>
          <w:bCs/>
          <w:szCs w:val="18"/>
        </w:rPr>
        <w:t>), Official Gazette of the Republic of Croatia, Nos. 130/11, 74/13, 69/17</w:t>
      </w:r>
      <w:r w:rsidRPr="00A86B21">
        <w:rPr>
          <w:szCs w:val="18"/>
        </w:rPr>
        <w:t xml:space="preserve">, available at: </w:t>
      </w:r>
      <w:hyperlink r:id="rId1" w:history="1">
        <w:r w:rsidRPr="00A86B21">
          <w:rPr>
            <w:rStyle w:val="Hyperlink"/>
            <w:szCs w:val="18"/>
          </w:rPr>
          <w:t>http://narodne-novine.nn.hr/clanci/sluzbeni/2011_11_130_2600.html</w:t>
        </w:r>
      </w:hyperlink>
      <w:r w:rsidRPr="00A86B21">
        <w:rPr>
          <w:szCs w:val="18"/>
        </w:rPr>
        <w:t xml:space="preserve">, (2013 amendment available at </w:t>
      </w:r>
      <w:hyperlink r:id="rId2" w:history="1">
        <w:r w:rsidRPr="00A86B21">
          <w:rPr>
            <w:rStyle w:val="Hyperlink"/>
            <w:szCs w:val="18"/>
          </w:rPr>
          <w:t>https://narodne-novine.nn.hr/clanci/sluzbeni/2013_06_74_1475.html</w:t>
        </w:r>
      </w:hyperlink>
      <w:r w:rsidRPr="00A86B21">
        <w:rPr>
          <w:szCs w:val="18"/>
        </w:rPr>
        <w:t xml:space="preserve">, 2017 amendment available at </w:t>
      </w:r>
      <w:hyperlink r:id="rId3" w:history="1">
        <w:r w:rsidRPr="00A86B21">
          <w:rPr>
            <w:rStyle w:val="Hyperlink"/>
            <w:szCs w:val="18"/>
          </w:rPr>
          <w:t>https://narodne-novine.nn.hr/clanci/sluzbeni/2017_07_69_1605.html</w:t>
        </w:r>
      </w:hyperlink>
      <w:r w:rsidRPr="00A86B21">
        <w:rPr>
          <w:szCs w:val="18"/>
        </w:rPr>
        <w:t xml:space="preserve">). Consolidated version </w:t>
      </w:r>
      <w:hyperlink r:id="rId4" w:history="1">
        <w:r w:rsidRPr="00A86B21">
          <w:rPr>
            <w:rStyle w:val="Hyperlink"/>
            <w:szCs w:val="18"/>
          </w:rPr>
          <w:t>https://www.zakon.hr/z/142/Zakon-o-strancima</w:t>
        </w:r>
      </w:hyperlink>
      <w:r w:rsidRPr="00A86B21">
        <w:rPr>
          <w:szCs w:val="18"/>
        </w:rPr>
        <w:t xml:space="preserve">. </w:t>
      </w:r>
    </w:p>
  </w:footnote>
  <w:footnote w:id="2">
    <w:p w14:paraId="6BE7F0BE" w14:textId="65C95F74" w:rsidR="00153CC3" w:rsidRPr="00A86B21" w:rsidRDefault="00153CC3">
      <w:pPr>
        <w:pStyle w:val="FootnoteText"/>
        <w:rPr>
          <w:szCs w:val="18"/>
        </w:rPr>
      </w:pPr>
      <w:r w:rsidRPr="00A86B21">
        <w:rPr>
          <w:rStyle w:val="FootnoteReference"/>
          <w:szCs w:val="18"/>
        </w:rPr>
        <w:footnoteRef/>
      </w:r>
      <w:r w:rsidRPr="00A86B21">
        <w:rPr>
          <w:szCs w:val="18"/>
        </w:rPr>
        <w:t xml:space="preserve"> </w:t>
      </w:r>
      <w:r w:rsidRPr="00A86B21">
        <w:rPr>
          <w:rStyle w:val="st1"/>
          <w:szCs w:val="18"/>
        </w:rPr>
        <w:t xml:space="preserve">Regulation on the </w:t>
      </w:r>
      <w:r w:rsidRPr="00A86B21">
        <w:rPr>
          <w:rStyle w:val="Emphasis"/>
          <w:i w:val="0"/>
          <w:szCs w:val="18"/>
        </w:rPr>
        <w:t>Status and Work of Foreigners</w:t>
      </w:r>
      <w:r w:rsidRPr="00A86B21">
        <w:rPr>
          <w:rStyle w:val="st1"/>
          <w:szCs w:val="18"/>
        </w:rPr>
        <w:t xml:space="preserve"> in the </w:t>
      </w:r>
      <w:r w:rsidRPr="00A86B21">
        <w:rPr>
          <w:rStyle w:val="Emphasis"/>
          <w:i w:val="0"/>
          <w:szCs w:val="18"/>
        </w:rPr>
        <w:t>Republic of Croatia</w:t>
      </w:r>
      <w:r w:rsidR="00770C15" w:rsidRPr="00A86B21">
        <w:rPr>
          <w:rStyle w:val="Emphasis"/>
          <w:i w:val="0"/>
          <w:szCs w:val="18"/>
        </w:rPr>
        <w:t xml:space="preserve"> (</w:t>
      </w:r>
      <w:r w:rsidR="00770C15" w:rsidRPr="00A86B21">
        <w:rPr>
          <w:i/>
          <w:szCs w:val="18"/>
        </w:rPr>
        <w:t>Pravilnik o statusu i radu stranaca u Republici Hrvatskoj)</w:t>
      </w:r>
      <w:r w:rsidR="004545E0" w:rsidRPr="00A86B21">
        <w:rPr>
          <w:rStyle w:val="Emphasis"/>
          <w:szCs w:val="18"/>
        </w:rPr>
        <w:t xml:space="preserve">, </w:t>
      </w:r>
      <w:r w:rsidRPr="00A86B21">
        <w:rPr>
          <w:rStyle w:val="Strong"/>
          <w:b w:val="0"/>
          <w:szCs w:val="18"/>
        </w:rPr>
        <w:t>Official Gazette of the Republic of Cr</w:t>
      </w:r>
      <w:r w:rsidR="004545E0" w:rsidRPr="00A86B21">
        <w:rPr>
          <w:rStyle w:val="Strong"/>
          <w:b w:val="0"/>
          <w:szCs w:val="18"/>
        </w:rPr>
        <w:t>oatia, Nos. 52/12, 81/13, 38/15</w:t>
      </w:r>
      <w:r w:rsidR="001A5BE9" w:rsidRPr="00A86B21">
        <w:rPr>
          <w:rStyle w:val="Strong"/>
          <w:b w:val="0"/>
          <w:szCs w:val="18"/>
        </w:rPr>
        <w:t>, 100/17</w:t>
      </w:r>
      <w:r w:rsidR="009E13C2" w:rsidRPr="00A86B21">
        <w:rPr>
          <w:rStyle w:val="Strong"/>
          <w:b w:val="0"/>
          <w:szCs w:val="18"/>
        </w:rPr>
        <w:t>, 61/18</w:t>
      </w:r>
      <w:r w:rsidR="004545E0" w:rsidRPr="00A86B21">
        <w:rPr>
          <w:rStyle w:val="Strong"/>
          <w:b w:val="0"/>
          <w:szCs w:val="18"/>
        </w:rPr>
        <w:t>, available at:</w:t>
      </w:r>
      <w:r w:rsidR="004545E0" w:rsidRPr="00A86B21">
        <w:rPr>
          <w:rStyle w:val="Strong"/>
          <w:szCs w:val="18"/>
        </w:rPr>
        <w:t xml:space="preserve"> </w:t>
      </w:r>
      <w:hyperlink r:id="rId5" w:history="1">
        <w:r w:rsidR="00770C15" w:rsidRPr="00A86B21">
          <w:rPr>
            <w:rStyle w:val="Hyperlink"/>
            <w:szCs w:val="18"/>
          </w:rPr>
          <w:t>https://narodne-novine.nn.hr/clanci/sluzbeni/2012_05_52_1279.html</w:t>
        </w:r>
      </w:hyperlink>
      <w:r w:rsidR="00770C15" w:rsidRPr="00A86B21">
        <w:rPr>
          <w:rStyle w:val="Hyperlink"/>
          <w:color w:val="auto"/>
          <w:szCs w:val="18"/>
          <w:u w:val="none"/>
        </w:rPr>
        <w:t xml:space="preserve">, (2013 </w:t>
      </w:r>
      <w:r w:rsidR="00770C15" w:rsidRPr="00A86B21">
        <w:rPr>
          <w:szCs w:val="18"/>
        </w:rPr>
        <w:t xml:space="preserve">amendment available at </w:t>
      </w:r>
      <w:hyperlink r:id="rId6" w:history="1">
        <w:r w:rsidR="00770C15" w:rsidRPr="00A86B21">
          <w:rPr>
            <w:rStyle w:val="Hyperlink"/>
            <w:szCs w:val="18"/>
          </w:rPr>
          <w:t>https://narodne-novine.nn.hr/clanci/sluzbeni/2013_06_81_1714.html</w:t>
        </w:r>
      </w:hyperlink>
      <w:r w:rsidR="00770C15" w:rsidRPr="00A86B21">
        <w:rPr>
          <w:szCs w:val="18"/>
        </w:rPr>
        <w:t xml:space="preserve">, </w:t>
      </w:r>
      <w:r w:rsidR="00770C15" w:rsidRPr="00A86B21">
        <w:rPr>
          <w:rStyle w:val="Hyperlink"/>
          <w:color w:val="auto"/>
          <w:szCs w:val="18"/>
          <w:u w:val="none"/>
        </w:rPr>
        <w:t xml:space="preserve">2015 </w:t>
      </w:r>
      <w:r w:rsidR="00770C15" w:rsidRPr="00A86B21">
        <w:rPr>
          <w:szCs w:val="18"/>
        </w:rPr>
        <w:t xml:space="preserve">amendment available at </w:t>
      </w:r>
      <w:hyperlink r:id="rId7" w:history="1">
        <w:r w:rsidR="00770C15" w:rsidRPr="00A86B21">
          <w:rPr>
            <w:rStyle w:val="Hyperlink"/>
            <w:szCs w:val="18"/>
          </w:rPr>
          <w:t>https://narodne-novine.nn.hr/clanci/sluzbeni/2015_04_38_787.html</w:t>
        </w:r>
      </w:hyperlink>
      <w:r w:rsidR="001A5BE9" w:rsidRPr="00A86B21">
        <w:rPr>
          <w:szCs w:val="18"/>
        </w:rPr>
        <w:t xml:space="preserve">, </w:t>
      </w:r>
      <w:r w:rsidR="001A5BE9" w:rsidRPr="00A86B21">
        <w:rPr>
          <w:rStyle w:val="Hyperlink"/>
          <w:color w:val="auto"/>
          <w:szCs w:val="18"/>
          <w:u w:val="none"/>
        </w:rPr>
        <w:t xml:space="preserve">2017 </w:t>
      </w:r>
      <w:r w:rsidR="001A5BE9" w:rsidRPr="00A86B21">
        <w:rPr>
          <w:szCs w:val="18"/>
        </w:rPr>
        <w:t xml:space="preserve">amendment available at </w:t>
      </w:r>
      <w:hyperlink r:id="rId8" w:history="1">
        <w:r w:rsidR="001A5BE9" w:rsidRPr="00A86B21">
          <w:rPr>
            <w:rStyle w:val="Hyperlink"/>
            <w:szCs w:val="18"/>
          </w:rPr>
          <w:t>https://narodne-novine.nn.hr/clanci/sluzbeni/full/2017_10_100_2307.html</w:t>
        </w:r>
      </w:hyperlink>
      <w:r w:rsidR="009E13C2" w:rsidRPr="00A86B21">
        <w:rPr>
          <w:szCs w:val="18"/>
        </w:rPr>
        <w:t xml:space="preserve">, </w:t>
      </w:r>
      <w:r w:rsidR="009E13C2" w:rsidRPr="00A86B21">
        <w:rPr>
          <w:rStyle w:val="Hyperlink"/>
          <w:color w:val="auto"/>
          <w:szCs w:val="18"/>
          <w:u w:val="none"/>
        </w:rPr>
        <w:t xml:space="preserve">2018 </w:t>
      </w:r>
      <w:r w:rsidR="009E13C2" w:rsidRPr="00A86B21">
        <w:rPr>
          <w:szCs w:val="18"/>
        </w:rPr>
        <w:t xml:space="preserve">amendment available at </w:t>
      </w:r>
      <w:hyperlink r:id="rId9" w:history="1">
        <w:r w:rsidR="009E13C2" w:rsidRPr="00A86B21">
          <w:rPr>
            <w:rStyle w:val="Hyperlink"/>
            <w:szCs w:val="18"/>
          </w:rPr>
          <w:t>https://narodne-novine.nn.hr/clanci/sluzbeni/2018_07_61_1270.html</w:t>
        </w:r>
      </w:hyperlink>
      <w:r w:rsidR="00770C15" w:rsidRPr="00A86B21">
        <w:rPr>
          <w:szCs w:val="18"/>
        </w:rPr>
        <w:t>)</w:t>
      </w:r>
      <w:r w:rsidR="001A5BE9" w:rsidRPr="00A86B21">
        <w:rPr>
          <w:szCs w:val="18"/>
        </w:rPr>
        <w:t>.</w:t>
      </w:r>
      <w:r w:rsidR="009E13C2" w:rsidRPr="00A86B21">
        <w:rPr>
          <w:szCs w:val="18"/>
        </w:rPr>
        <w:t xml:space="preserve"> </w:t>
      </w:r>
      <w:r w:rsidR="001A5BE9" w:rsidRPr="00A86B21">
        <w:rPr>
          <w:szCs w:val="18"/>
        </w:rPr>
        <w:t xml:space="preserve"> </w:t>
      </w:r>
    </w:p>
  </w:footnote>
  <w:footnote w:id="3">
    <w:p w14:paraId="56757C1E" w14:textId="77138B46" w:rsidR="00AA11E2" w:rsidRPr="00A86B21" w:rsidRDefault="00AA11E2" w:rsidP="005F1CA0">
      <w:pPr>
        <w:widowControl w:val="0"/>
        <w:spacing w:after="0" w:line="240" w:lineRule="auto"/>
        <w:jc w:val="both"/>
      </w:pPr>
      <w:r w:rsidRPr="00A86B21">
        <w:rPr>
          <w:rStyle w:val="FootnoteReference"/>
        </w:rPr>
        <w:footnoteRef/>
      </w:r>
      <w:r w:rsidRPr="00A86B21">
        <w:t xml:space="preserve"> The annual quota refers to volumes of admission for all third-country national workers in Croatia. It does not apply to foreign investors.</w:t>
      </w:r>
      <w:r w:rsidRPr="00A86B21">
        <w:rPr>
          <w:lang w:eastAsia="hr-HR"/>
        </w:rPr>
        <w:t xml:space="preserve"> According to the latest data of the Ministry of the Interior on the </w:t>
      </w:r>
      <w:r w:rsidRPr="00A86B21">
        <w:t>status of the annual quota for stay and work permits on 6 April 2018, issued pursuant to the Decision of the Government of the Republic of Croatia</w:t>
      </w:r>
      <w:r w:rsidRPr="00A86B21">
        <w:rPr>
          <w:lang w:eastAsia="hr-HR"/>
        </w:rPr>
        <w:t xml:space="preserve"> (see: Ministry of the Interior, </w:t>
      </w:r>
      <w:hyperlink r:id="rId10" w:history="1">
        <w:r w:rsidRPr="00A86B21">
          <w:rPr>
            <w:rStyle w:val="Hyperlink"/>
            <w:lang w:eastAsia="hr-HR"/>
          </w:rPr>
          <w:t>http://stari.mup.hr/172024.aspx</w:t>
        </w:r>
      </w:hyperlink>
      <w:r w:rsidRPr="00A86B21">
        <w:rPr>
          <w:lang w:eastAsia="hr-HR"/>
        </w:rPr>
        <w:t xml:space="preserve">), Croatia has foreseen 22,000 positions for third-country nationals. </w:t>
      </w:r>
      <w:r w:rsidRPr="00A86B21">
        <w:t xml:space="preserve">Article 76(1) of the Aliens Act </w:t>
      </w:r>
      <w:r w:rsidR="00B24F5B" w:rsidRPr="00A86B21">
        <w:t>lists all</w:t>
      </w:r>
      <w:r w:rsidRPr="00A86B21">
        <w:t xml:space="preserve"> categories of third-country nationals to whom a stay and work permit may be issued out of the (general) annual quota (and, thus, to whom the quota is not applicable). Those are: 1. frontier workers under the condition of reciprocity, 2. key staff, service providers, workers and members of their families whose status is regulated by the Stabilisation and Association Agreement between the European Communities and their Member States and the Republic of Croatia, 3. third-country nationals who carry out key business activities in companies, branches and representative offices, 4. other necessary persons as defined in the Protocol on the Accession of the Republic of Croatia to the Marrakech Agreement on the Founding of the World Trade Organization, </w:t>
      </w:r>
      <w:r w:rsidR="00B24F5B" w:rsidRPr="00A86B21">
        <w:t xml:space="preserve">5. </w:t>
      </w:r>
      <w:r w:rsidRPr="00A86B21">
        <w:t>third-country national</w:t>
      </w:r>
      <w:r w:rsidR="00B24F5B" w:rsidRPr="00A86B21">
        <w:t>s</w:t>
      </w:r>
      <w:r w:rsidRPr="00A86B21">
        <w:t xml:space="preserve"> self-employed in a company in which </w:t>
      </w:r>
      <w:r w:rsidR="00B24F5B" w:rsidRPr="00A86B21">
        <w:t>they hold</w:t>
      </w:r>
      <w:r w:rsidRPr="00A86B21">
        <w:t xml:space="preserve"> at least 51% or in a craft in which </w:t>
      </w:r>
      <w:r w:rsidR="00B24F5B" w:rsidRPr="00A86B21">
        <w:t>they are</w:t>
      </w:r>
      <w:r w:rsidRPr="00A86B21">
        <w:t xml:space="preserve"> sole owner, 6. a worker who carries out services on behalf of a foreign employer who has no right of establi</w:t>
      </w:r>
      <w:r w:rsidR="00B24F5B" w:rsidRPr="00A86B21">
        <w:t>shment in an</w:t>
      </w:r>
      <w:r w:rsidRPr="00A86B21">
        <w:t xml:space="preserve"> EEA Member State, 7. teachers and lecturers teaching at schools in the language and script of national minorities, 8. professional athletes or sports workers working in Croatia, 9. artists working in cultural institutions in Croatia, 1</w:t>
      </w:r>
      <w:r w:rsidR="00B24F5B" w:rsidRPr="00A86B21">
        <w:t xml:space="preserve">0. third-country nationals who </w:t>
      </w:r>
      <w:r w:rsidRPr="00A86B21">
        <w:t>based their work in foreign associations registered as foreign associations in the Croatia and at least three other states, 11. third-country nationals who are members of the founding bodies of foreign associations and foundations enrolled in the Register of Foreign Associations and Foundations in the Republic of Croatia, 12. third-country nationals working on the Youth Mobility Programme implemented by the Republic of Croatia in cooperation with other States, 13. scientific researchers and third-country nationals employed in scientific, scientific-teaching or other research positions in scientific legal persons, 14. professors – native speakers of foreign languages, lecturers and other teachers teaching at Croatian higher education institutions or registered foreign language schools, 15. third-country nationals working on an international contract, other than the contract referred to in Article 79, paragraph 1, item 2 of th</w:t>
      </w:r>
      <w:r w:rsidR="00B24F5B" w:rsidRPr="00A86B21">
        <w:t xml:space="preserve">e </w:t>
      </w:r>
      <w:r w:rsidRPr="00A86B21">
        <w:t>Act, 16. a person with a long-term stay in another EEA Member State, 17. key staff, workers and members of their families whose status is regulated by the Stabilisation and Association Agreement between the European Communities and their Member States and the Republic of Croatia;</w:t>
      </w:r>
      <w:r w:rsidR="00DA7115" w:rsidRPr="00A86B21">
        <w:t xml:space="preserve"> </w:t>
      </w:r>
      <w:r w:rsidRPr="00A86B21">
        <w:t>18. a third-country national who is an intra-corporate transferee for the purpose of long-term mobility</w:t>
      </w:r>
      <w:r w:rsidR="00DA7115" w:rsidRPr="00A86B21">
        <w:t>; 19. t</w:t>
      </w:r>
      <w:r w:rsidRPr="00A86B21">
        <w:t>hird-country nationals who come to Croatia for a certain period of time to perform tasks in accordance with agreements between Croatia</w:t>
      </w:r>
      <w:r w:rsidR="00DA7115" w:rsidRPr="00A86B21">
        <w:t xml:space="preserve"> and third countries; and 20. </w:t>
      </w:r>
      <w:r w:rsidRPr="00A86B21">
        <w:t xml:space="preserve">third-country </w:t>
      </w:r>
      <w:r w:rsidR="00DA7115" w:rsidRPr="00A86B21">
        <w:t xml:space="preserve">nationals </w:t>
      </w:r>
      <w:r w:rsidRPr="00A86B21">
        <w:t xml:space="preserve">specialised in healthcare activities in accordance with specific regulations. </w:t>
      </w:r>
    </w:p>
  </w:footnote>
  <w:footnote w:id="4">
    <w:p w14:paraId="1A5272C9" w14:textId="64E62EC8" w:rsidR="008365FF" w:rsidRPr="00A86B21" w:rsidRDefault="008365FF">
      <w:pPr>
        <w:pStyle w:val="FootnoteText"/>
      </w:pPr>
      <w:r w:rsidRPr="00A86B21">
        <w:rPr>
          <w:rStyle w:val="FootnoteReference"/>
        </w:rPr>
        <w:footnoteRef/>
      </w:r>
      <w:r w:rsidRPr="00A86B21">
        <w:t xml:space="preserve"> The Aliens Act does not expressly refer to </w:t>
      </w:r>
      <w:r w:rsidR="00DA7115" w:rsidRPr="00A86B21">
        <w:t>‘</w:t>
      </w:r>
      <w:r w:rsidRPr="00A86B21">
        <w:t>employed investors</w:t>
      </w:r>
      <w:r w:rsidR="00DA7115" w:rsidRPr="00A86B21">
        <w:t>’ -</w:t>
      </w:r>
      <w:r w:rsidRPr="00A86B21">
        <w:t xml:space="preserve"> the differentiation between employed a</w:t>
      </w:r>
      <w:r w:rsidR="007642E2" w:rsidRPr="00A86B21">
        <w:t>nd self-employed investors is</w:t>
      </w:r>
      <w:r w:rsidRPr="00A86B21">
        <w:t xml:space="preserve"> </w:t>
      </w:r>
      <w:r w:rsidR="00DA7115" w:rsidRPr="00A86B21">
        <w:t>made solely for the purposes of this study.</w:t>
      </w:r>
    </w:p>
  </w:footnote>
  <w:footnote w:id="5">
    <w:p w14:paraId="6C28E3D2" w14:textId="39DE4605" w:rsidR="00AA11E2" w:rsidRPr="00A86B21" w:rsidRDefault="00AA11E2">
      <w:pPr>
        <w:pStyle w:val="FootnoteText"/>
      </w:pPr>
      <w:r w:rsidRPr="00A86B21">
        <w:rPr>
          <w:rStyle w:val="FootnoteReference"/>
        </w:rPr>
        <w:footnoteRef/>
      </w:r>
      <w:r w:rsidRPr="00A86B21">
        <w:t xml:space="preserve"> Article 78 Aliens Act.</w:t>
      </w:r>
    </w:p>
  </w:footnote>
  <w:footnote w:id="6">
    <w:p w14:paraId="715767B8" w14:textId="4F630CCA" w:rsidR="00A04F14" w:rsidRPr="00A86B21" w:rsidRDefault="00A04F14">
      <w:pPr>
        <w:pStyle w:val="FootnoteText"/>
      </w:pPr>
      <w:r w:rsidRPr="00A86B21">
        <w:rPr>
          <w:rStyle w:val="FootnoteReference"/>
        </w:rPr>
        <w:footnoteRef/>
      </w:r>
      <w:r w:rsidRPr="00A86B21">
        <w:t xml:space="preserve"> Pursuant to Article 24 of the</w:t>
      </w:r>
      <w:r w:rsidRPr="00A86B21">
        <w:rPr>
          <w:szCs w:val="18"/>
        </w:rPr>
        <w:t xml:space="preserve"> </w:t>
      </w:r>
      <w:r w:rsidRPr="00A86B21">
        <w:rPr>
          <w:i/>
          <w:szCs w:val="18"/>
        </w:rPr>
        <w:t>Regulation</w:t>
      </w:r>
      <w:r w:rsidRPr="00A86B21">
        <w:rPr>
          <w:i/>
          <w:szCs w:val="18"/>
          <w:lang w:eastAsia="hr-HR"/>
        </w:rPr>
        <w:t xml:space="preserve"> on</w:t>
      </w:r>
      <w:r w:rsidRPr="00A86B21">
        <w:rPr>
          <w:szCs w:val="18"/>
          <w:lang w:eastAsia="hr-HR"/>
        </w:rPr>
        <w:t xml:space="preserve"> </w:t>
      </w:r>
      <w:r w:rsidRPr="00A86B21">
        <w:rPr>
          <w:rStyle w:val="Emphasis"/>
          <w:szCs w:val="18"/>
        </w:rPr>
        <w:t>status and work of foreigners</w:t>
      </w:r>
      <w:r w:rsidRPr="00A86B21">
        <w:rPr>
          <w:szCs w:val="18"/>
        </w:rPr>
        <w:t xml:space="preserve"> </w:t>
      </w:r>
      <w:r w:rsidRPr="00A86B21">
        <w:rPr>
          <w:i/>
          <w:szCs w:val="18"/>
        </w:rPr>
        <w:t xml:space="preserve">in the </w:t>
      </w:r>
      <w:r w:rsidRPr="00A86B21">
        <w:rPr>
          <w:rStyle w:val="Emphasis"/>
          <w:szCs w:val="18"/>
        </w:rPr>
        <w:t>Republic of Croatia</w:t>
      </w:r>
      <w:r w:rsidRPr="00A86B21">
        <w:t xml:space="preserve"> </w:t>
      </w:r>
      <w:r w:rsidR="009E7456" w:rsidRPr="00A86B21">
        <w:t>‘</w:t>
      </w:r>
      <w:r w:rsidRPr="00A86B21">
        <w:t>I</w:t>
      </w:r>
      <w:r w:rsidRPr="00A86B21">
        <w:rPr>
          <w:rStyle w:val="tlid-translation"/>
        </w:rPr>
        <w:t xml:space="preserve">n addition to the application for a stay and work permit outside the annual quota, a third-country national </w:t>
      </w:r>
      <w:r w:rsidRPr="00A86B21">
        <w:t>who carries out a key business in companies, branches and representative offices</w:t>
      </w:r>
      <w:r w:rsidRPr="00A86B21">
        <w:rPr>
          <w:rStyle w:val="tlid-translation"/>
        </w:rPr>
        <w:t xml:space="preserve">, a third-country national who is self-employed or owns more than 51% </w:t>
      </w:r>
      <w:r w:rsidR="005C206B" w:rsidRPr="00A86B21">
        <w:rPr>
          <w:rStyle w:val="tlid-translation"/>
        </w:rPr>
        <w:t xml:space="preserve">of the shares </w:t>
      </w:r>
      <w:r w:rsidRPr="00A86B21">
        <w:rPr>
          <w:rStyle w:val="tlid-translation"/>
        </w:rPr>
        <w:t xml:space="preserve">or is self-employed in his or her </w:t>
      </w:r>
      <w:r w:rsidRPr="00A86B21">
        <w:t>own crafts business</w:t>
      </w:r>
      <w:r w:rsidRPr="00A86B21">
        <w:rPr>
          <w:rStyle w:val="tlid-translation"/>
        </w:rPr>
        <w:t xml:space="preserve">, </w:t>
      </w:r>
      <w:r w:rsidR="005C206B" w:rsidRPr="00A86B21">
        <w:rPr>
          <w:rStyle w:val="tlid-translation"/>
        </w:rPr>
        <w:t xml:space="preserve">apart from the documents </w:t>
      </w:r>
      <w:r w:rsidRPr="00A86B21">
        <w:rPr>
          <w:rStyle w:val="tlid-translation"/>
        </w:rPr>
        <w:t>referred to in Article 23 of this Regulation</w:t>
      </w:r>
      <w:r w:rsidR="00A86204" w:rsidRPr="00A86B21">
        <w:rPr>
          <w:rStyle w:val="tlid-translation"/>
        </w:rPr>
        <w:t>, he or she shall also submit the</w:t>
      </w:r>
      <w:r w:rsidRPr="00A86B21">
        <w:rPr>
          <w:rStyle w:val="tlid-translation"/>
        </w:rPr>
        <w:t xml:space="preserve"> copies of the employment contract, </w:t>
      </w:r>
      <w:r w:rsidR="00A86204" w:rsidRPr="00A86B21">
        <w:rPr>
          <w:rStyle w:val="tlid-translation"/>
        </w:rPr>
        <w:t xml:space="preserve">the </w:t>
      </w:r>
      <w:r w:rsidRPr="00A86B21">
        <w:rPr>
          <w:rStyle w:val="tlid-translation"/>
        </w:rPr>
        <w:t>application</w:t>
      </w:r>
      <w:r w:rsidR="00A86204" w:rsidRPr="00A86B21">
        <w:rPr>
          <w:rStyle w:val="tlid-translation"/>
        </w:rPr>
        <w:t>s</w:t>
      </w:r>
      <w:r w:rsidRPr="00A86B21">
        <w:rPr>
          <w:rStyle w:val="tlid-translation"/>
        </w:rPr>
        <w:t xml:space="preserve"> for pension and health insurance for at least 3 Croatian nationals</w:t>
      </w:r>
      <w:r w:rsidR="009E7456" w:rsidRPr="00A86B21">
        <w:rPr>
          <w:rStyle w:val="tlid-translation"/>
        </w:rPr>
        <w:t>’</w:t>
      </w:r>
      <w:r w:rsidRPr="00A86B21">
        <w:rPr>
          <w:rStyle w:val="tlid-translation"/>
        </w:rPr>
        <w:t>.</w:t>
      </w:r>
      <w:r w:rsidR="00A86204" w:rsidRPr="00A86B21">
        <w:rPr>
          <w:rStyle w:val="tlid-translation"/>
        </w:rPr>
        <w:t xml:space="preserve"> Neither the Regulation nor the Aliens Act explain the relation between employed investors and the requirement of three Croatian nationals.</w:t>
      </w:r>
      <w:r w:rsidR="00420784" w:rsidRPr="00A86B21">
        <w:rPr>
          <w:rStyle w:val="tlid-translation"/>
        </w:rPr>
        <w:t xml:space="preserve"> However, it is deemed that, in practice, employed investors will have to prove that the company in which they are employed meets such requirement.</w:t>
      </w:r>
    </w:p>
  </w:footnote>
  <w:footnote w:id="7">
    <w:p w14:paraId="2A2F9ABD" w14:textId="77777777" w:rsidR="00420784" w:rsidRPr="00A86B21" w:rsidRDefault="00420784" w:rsidP="00420784">
      <w:pPr>
        <w:pStyle w:val="FootnoteText"/>
      </w:pPr>
      <w:r w:rsidRPr="00A86B21">
        <w:rPr>
          <w:rStyle w:val="FootnoteReference"/>
        </w:rPr>
        <w:footnoteRef/>
      </w:r>
      <w:r w:rsidRPr="00A86B21">
        <w:t xml:space="preserve"> Article 4(7) of the </w:t>
      </w:r>
      <w:r w:rsidRPr="00A86B21">
        <w:rPr>
          <w:szCs w:val="18"/>
        </w:rPr>
        <w:t>of the Regulation</w:t>
      </w:r>
      <w:r w:rsidRPr="00A86B21">
        <w:rPr>
          <w:szCs w:val="18"/>
          <w:lang w:eastAsia="hr-HR"/>
        </w:rPr>
        <w:t xml:space="preserve"> on</w:t>
      </w:r>
      <w:r w:rsidRPr="00A86B21">
        <w:rPr>
          <w:i/>
          <w:szCs w:val="18"/>
          <w:lang w:eastAsia="hr-HR"/>
        </w:rPr>
        <w:t xml:space="preserve"> </w:t>
      </w:r>
      <w:r w:rsidRPr="00A86B21">
        <w:rPr>
          <w:rStyle w:val="Emphasis"/>
          <w:szCs w:val="18"/>
        </w:rPr>
        <w:t>Status and Work of Foreigners. In the case of the permanent stay, this is regulated by Article 18(5) of the respective Regulation.</w:t>
      </w:r>
    </w:p>
  </w:footnote>
  <w:footnote w:id="8">
    <w:p w14:paraId="6C02EC44" w14:textId="77777777" w:rsidR="00420784" w:rsidRPr="00A86B21" w:rsidRDefault="00420784" w:rsidP="00420784">
      <w:pPr>
        <w:pStyle w:val="FootnoteText"/>
      </w:pPr>
      <w:r w:rsidRPr="00A86B21">
        <w:rPr>
          <w:rStyle w:val="FootnoteReference"/>
        </w:rPr>
        <w:footnoteRef/>
      </w:r>
      <w:r w:rsidRPr="00A86B21">
        <w:t xml:space="preserve"> Article 2(2) of the </w:t>
      </w:r>
      <w:r w:rsidRPr="00A86B21">
        <w:rPr>
          <w:szCs w:val="18"/>
        </w:rPr>
        <w:t>of the Regulation</w:t>
      </w:r>
      <w:r w:rsidRPr="00A86B21">
        <w:rPr>
          <w:szCs w:val="18"/>
          <w:lang w:eastAsia="hr-HR"/>
        </w:rPr>
        <w:t xml:space="preserve"> on </w:t>
      </w:r>
      <w:r w:rsidRPr="00A86B21">
        <w:rPr>
          <w:rStyle w:val="Emphasis"/>
          <w:szCs w:val="18"/>
        </w:rPr>
        <w:t>status and work of foreigners</w:t>
      </w:r>
      <w:r w:rsidRPr="00A86B21">
        <w:rPr>
          <w:szCs w:val="18"/>
        </w:rPr>
        <w:t xml:space="preserve"> in the </w:t>
      </w:r>
      <w:r w:rsidRPr="00A86B21">
        <w:rPr>
          <w:rStyle w:val="Emphasis"/>
          <w:szCs w:val="18"/>
        </w:rPr>
        <w:t>Republic of Croatia.</w:t>
      </w:r>
    </w:p>
  </w:footnote>
  <w:footnote w:id="9">
    <w:p w14:paraId="472EE99C" w14:textId="77777777" w:rsidR="00420784" w:rsidRPr="00A86B21" w:rsidRDefault="00420784" w:rsidP="00420784">
      <w:pPr>
        <w:pStyle w:val="FootnoteText"/>
      </w:pPr>
      <w:r w:rsidRPr="00A86B21">
        <w:rPr>
          <w:rStyle w:val="FootnoteReference"/>
        </w:rPr>
        <w:footnoteRef/>
      </w:r>
      <w:r w:rsidRPr="00A86B21">
        <w:t xml:space="preserve"> Article 21(1) of the respective Regulation stipulates that: ‘The application form for stay and work permits (Form 9a) is white and sized 21x29,7 cm’. Form 9a is available at the web site of the Ministry of the Interior (see </w:t>
      </w:r>
      <w:r w:rsidRPr="00A86B21">
        <w:rPr>
          <w:i/>
        </w:rPr>
        <w:t>Zahtjev za izdavanje dozvole za boravak i rad – OBRAZAC 9a</w:t>
      </w:r>
      <w:r w:rsidRPr="00A86B21">
        <w:t>): http://stari.mup.hr/1252.aspx.</w:t>
      </w:r>
    </w:p>
  </w:footnote>
  <w:footnote w:id="10">
    <w:p w14:paraId="6DC4D7B7" w14:textId="77777777" w:rsidR="00420784" w:rsidRPr="00A86B21" w:rsidRDefault="00420784" w:rsidP="00420784">
      <w:pPr>
        <w:pStyle w:val="FootnoteText"/>
        <w:rPr>
          <w:i/>
        </w:rPr>
      </w:pPr>
      <w:r w:rsidRPr="00A86B21">
        <w:rPr>
          <w:rStyle w:val="FootnoteReference"/>
        </w:rPr>
        <w:footnoteRef/>
      </w:r>
      <w:r w:rsidRPr="00A86B21">
        <w:t xml:space="preserve"> According to Article 23(1) of the </w:t>
      </w:r>
      <w:r w:rsidRPr="00A86B21">
        <w:rPr>
          <w:szCs w:val="18"/>
        </w:rPr>
        <w:t>Regulation</w:t>
      </w:r>
      <w:r w:rsidRPr="00A86B21">
        <w:rPr>
          <w:szCs w:val="18"/>
          <w:lang w:eastAsia="hr-HR"/>
        </w:rPr>
        <w:t xml:space="preserve"> on </w:t>
      </w:r>
      <w:r w:rsidRPr="00A86B21">
        <w:rPr>
          <w:rStyle w:val="Emphasis"/>
          <w:szCs w:val="18"/>
        </w:rPr>
        <w:t>status and work of foreigners</w:t>
      </w:r>
      <w:r w:rsidRPr="00A86B21">
        <w:rPr>
          <w:szCs w:val="18"/>
        </w:rPr>
        <w:t xml:space="preserve"> in the </w:t>
      </w:r>
      <w:r w:rsidRPr="00A86B21">
        <w:rPr>
          <w:rStyle w:val="Emphasis"/>
          <w:szCs w:val="18"/>
        </w:rPr>
        <w:t xml:space="preserve">Republic of Croatia, </w:t>
      </w:r>
      <w:r w:rsidRPr="00A86B21">
        <w:rPr>
          <w:rStyle w:val="Emphasis"/>
          <w:i w:val="0"/>
          <w:szCs w:val="18"/>
        </w:rPr>
        <w:t>t</w:t>
      </w:r>
      <w:r w:rsidRPr="00A86B21">
        <w:t>he application for a stay and work permit outside the annual quota should be accompanied by the documentation required by Article 4(1) of the Regulation as well as the work contract, or a written confirmation of a concluded work contract or other appropriate contract, the evidence of acquired foreign qualifications and competences, and proof of registration of a company, branch office, representative office, crafts business, association or institution in the Republic of Croatia</w:t>
      </w:r>
      <w:r w:rsidRPr="00A86B21">
        <w:rPr>
          <w:rStyle w:val="Emphasis"/>
          <w:szCs w:val="18"/>
        </w:rPr>
        <w:t xml:space="preserve">. </w:t>
      </w:r>
      <w:r w:rsidRPr="00A86B21">
        <w:rPr>
          <w:rStyle w:val="Emphasis"/>
          <w:i w:val="0"/>
          <w:szCs w:val="18"/>
        </w:rPr>
        <w:t>The above-mentioned Article 4(1) prescribes that the documentation should consist of a colour photograph (35x45 mm), a proof of secured means of subsistence, a proof of health insurance, a copy of a valid travel document to be verified by the official after having inspected the original travel document, and the evidence justifying the purpose of stay.</w:t>
      </w:r>
    </w:p>
  </w:footnote>
  <w:footnote w:id="11">
    <w:p w14:paraId="339483B6" w14:textId="77777777" w:rsidR="00420784" w:rsidRPr="00A86B21" w:rsidRDefault="00420784" w:rsidP="00420784">
      <w:pPr>
        <w:pStyle w:val="FootnoteText"/>
        <w:rPr>
          <w:szCs w:val="18"/>
        </w:rPr>
      </w:pPr>
      <w:r w:rsidRPr="00A86B21">
        <w:rPr>
          <w:rStyle w:val="FootnoteReference"/>
          <w:szCs w:val="18"/>
        </w:rPr>
        <w:footnoteRef/>
      </w:r>
      <w:r w:rsidRPr="00A86B21">
        <w:rPr>
          <w:szCs w:val="18"/>
        </w:rPr>
        <w:t xml:space="preserve"> Article 2(1) of the Regulation</w:t>
      </w:r>
      <w:r w:rsidRPr="00A86B21">
        <w:rPr>
          <w:szCs w:val="18"/>
          <w:lang w:eastAsia="hr-HR"/>
        </w:rPr>
        <w:t xml:space="preserve"> on </w:t>
      </w:r>
      <w:r w:rsidRPr="00A86B21">
        <w:rPr>
          <w:rStyle w:val="Emphasis"/>
          <w:szCs w:val="18"/>
        </w:rPr>
        <w:t>status and work of foreigners</w:t>
      </w:r>
      <w:r w:rsidRPr="00A86B21">
        <w:rPr>
          <w:szCs w:val="18"/>
        </w:rPr>
        <w:t xml:space="preserve"> in the </w:t>
      </w:r>
      <w:r w:rsidRPr="00A86B21">
        <w:rPr>
          <w:rStyle w:val="Emphasis"/>
          <w:szCs w:val="18"/>
        </w:rPr>
        <w:t>Republic of Croatia.</w:t>
      </w:r>
      <w:r w:rsidRPr="00A86B21">
        <w:rPr>
          <w:szCs w:val="18"/>
        </w:rPr>
        <w:t xml:space="preserve"> </w:t>
      </w:r>
    </w:p>
  </w:footnote>
  <w:footnote w:id="12">
    <w:p w14:paraId="02694B5C" w14:textId="77777777" w:rsidR="00202506" w:rsidRPr="00A86B21" w:rsidRDefault="00202506" w:rsidP="00202506">
      <w:pPr>
        <w:pStyle w:val="FootnoteText"/>
        <w:rPr>
          <w:i/>
        </w:rPr>
      </w:pPr>
      <w:r w:rsidRPr="00A86B21">
        <w:rPr>
          <w:rStyle w:val="FootnoteReference"/>
        </w:rPr>
        <w:footnoteRef/>
      </w:r>
      <w:r w:rsidRPr="00A86B21">
        <w:t xml:space="preserve"> Article 207(2) of the Aliens Act in relation with Article 4(7) and (8) of the </w:t>
      </w:r>
      <w:r w:rsidRPr="00A86B21">
        <w:rPr>
          <w:szCs w:val="18"/>
        </w:rPr>
        <w:t>of the Regulation</w:t>
      </w:r>
      <w:r w:rsidRPr="00A86B21">
        <w:rPr>
          <w:szCs w:val="18"/>
          <w:lang w:eastAsia="hr-HR"/>
        </w:rPr>
        <w:t xml:space="preserve"> on </w:t>
      </w:r>
      <w:r w:rsidRPr="00A86B21">
        <w:rPr>
          <w:rStyle w:val="Emphasis"/>
          <w:i w:val="0"/>
          <w:szCs w:val="18"/>
        </w:rPr>
        <w:t>Status and Work of foreigners</w:t>
      </w:r>
      <w:r w:rsidRPr="00A86B21">
        <w:rPr>
          <w:i/>
          <w:szCs w:val="18"/>
        </w:rPr>
        <w:t xml:space="preserve"> in the </w:t>
      </w:r>
      <w:r w:rsidRPr="00A86B21">
        <w:rPr>
          <w:rStyle w:val="Emphasis"/>
          <w:i w:val="0"/>
          <w:szCs w:val="18"/>
        </w:rPr>
        <w:t>Republic of Croatia. In the case of the permanent stay, this is regulated by Article 18(5) and (8) of the respective Regulation.</w:t>
      </w:r>
    </w:p>
  </w:footnote>
  <w:footnote w:id="13">
    <w:p w14:paraId="732CDD21" w14:textId="76D06626" w:rsidR="00202506" w:rsidRPr="00A86B21" w:rsidRDefault="00202506">
      <w:pPr>
        <w:pStyle w:val="FootnoteText"/>
      </w:pPr>
      <w:r w:rsidRPr="00A86B21">
        <w:rPr>
          <w:rStyle w:val="FootnoteReference"/>
        </w:rPr>
        <w:footnoteRef/>
      </w:r>
      <w:r w:rsidRPr="00A86B21">
        <w:t xml:space="preserve"> </w:t>
      </w:r>
      <w:r w:rsidRPr="00A86B21">
        <w:rPr>
          <w:bCs/>
        </w:rPr>
        <w:t>Article 52(1), Article 53(1), Article 76, Article 77, Article 78, Article 92(1), Aliens Act.</w:t>
      </w:r>
    </w:p>
  </w:footnote>
  <w:footnote w:id="14">
    <w:p w14:paraId="35985D9A" w14:textId="77777777" w:rsidR="00420784" w:rsidRPr="00A86B21" w:rsidRDefault="00420784" w:rsidP="00420784">
      <w:pPr>
        <w:pStyle w:val="FootnoteText"/>
      </w:pPr>
      <w:r w:rsidRPr="00A86B21">
        <w:rPr>
          <w:rStyle w:val="FootnoteReference"/>
        </w:rPr>
        <w:footnoteRef/>
      </w:r>
      <w:r w:rsidRPr="00A86B21">
        <w:t xml:space="preserve"> Article 54(3) and (4) Aliens Act.</w:t>
      </w:r>
    </w:p>
  </w:footnote>
  <w:footnote w:id="15">
    <w:p w14:paraId="314BAFE4" w14:textId="77777777" w:rsidR="00420784" w:rsidRPr="00A86B21" w:rsidRDefault="00420784" w:rsidP="00420784">
      <w:pPr>
        <w:pStyle w:val="FootnoteText"/>
      </w:pPr>
      <w:r w:rsidRPr="00A86B21">
        <w:rPr>
          <w:rStyle w:val="FootnoteReference"/>
        </w:rPr>
        <w:footnoteRef/>
      </w:r>
      <w:r w:rsidRPr="00A86B21">
        <w:t xml:space="preserve"> Article 72(1) of the Aliens Act.</w:t>
      </w:r>
    </w:p>
  </w:footnote>
  <w:footnote w:id="16">
    <w:p w14:paraId="3FA79A97" w14:textId="70C8D697" w:rsidR="00420784" w:rsidRPr="00A86B21" w:rsidRDefault="00420784" w:rsidP="00420784">
      <w:pPr>
        <w:pStyle w:val="FootnoteText"/>
        <w:rPr>
          <w:szCs w:val="18"/>
        </w:rPr>
      </w:pPr>
      <w:r w:rsidRPr="00A86B21">
        <w:rPr>
          <w:rStyle w:val="FootnoteReference"/>
          <w:szCs w:val="18"/>
        </w:rPr>
        <w:footnoteRef/>
      </w:r>
      <w:r w:rsidRPr="00A86B21">
        <w:rPr>
          <w:szCs w:val="18"/>
        </w:rPr>
        <w:t xml:space="preserve"> </w:t>
      </w:r>
      <w:r w:rsidRPr="00A86B21">
        <w:rPr>
          <w:szCs w:val="18"/>
          <w:lang w:eastAsia="hr-HR"/>
        </w:rPr>
        <w:t>Article 9(3) and Article 50(2) of the Aliens Act.</w:t>
      </w:r>
      <w:r w:rsidRPr="00A86B21">
        <w:t xml:space="preserve"> </w:t>
      </w:r>
    </w:p>
  </w:footnote>
  <w:footnote w:id="17">
    <w:p w14:paraId="1BE267C0" w14:textId="77777777" w:rsidR="00420784" w:rsidRPr="00A86B21" w:rsidRDefault="00420784" w:rsidP="00420784">
      <w:pPr>
        <w:pStyle w:val="FootnoteText"/>
        <w:rPr>
          <w:szCs w:val="18"/>
        </w:rPr>
      </w:pPr>
      <w:r w:rsidRPr="00A86B21">
        <w:rPr>
          <w:rStyle w:val="FootnoteReference"/>
          <w:szCs w:val="18"/>
        </w:rPr>
        <w:footnoteRef/>
      </w:r>
      <w:r w:rsidRPr="00A86B21">
        <w:rPr>
          <w:szCs w:val="18"/>
        </w:rPr>
        <w:t xml:space="preserve"> Article 50(3) of the Aliens Act.</w:t>
      </w:r>
    </w:p>
  </w:footnote>
  <w:footnote w:id="18">
    <w:p w14:paraId="63B19864" w14:textId="77777777" w:rsidR="00A93F7F" w:rsidRPr="00A86B21" w:rsidRDefault="00A93F7F" w:rsidP="00A93F7F">
      <w:pPr>
        <w:pStyle w:val="FootnoteText"/>
      </w:pPr>
      <w:r w:rsidRPr="00A86B21">
        <w:rPr>
          <w:rStyle w:val="FootnoteReference"/>
        </w:rPr>
        <w:footnoteRef/>
      </w:r>
      <w:r w:rsidRPr="00A86B21">
        <w:t xml:space="preserve"> Article 4(8) of the </w:t>
      </w:r>
      <w:r w:rsidRPr="00A86B21">
        <w:rPr>
          <w:szCs w:val="18"/>
        </w:rPr>
        <w:t>of the Regulation</w:t>
      </w:r>
      <w:r w:rsidRPr="00A86B21">
        <w:rPr>
          <w:szCs w:val="18"/>
          <w:lang w:eastAsia="hr-HR"/>
        </w:rPr>
        <w:t xml:space="preserve"> on </w:t>
      </w:r>
      <w:r w:rsidRPr="00A86B21">
        <w:rPr>
          <w:rStyle w:val="Emphasis"/>
          <w:i w:val="0"/>
          <w:szCs w:val="18"/>
        </w:rPr>
        <w:t>Status and Work of Foreigners. In the case of the permanent stay, this is regulated by Article 18(8) of the respective Regulation.</w:t>
      </w:r>
    </w:p>
  </w:footnote>
  <w:footnote w:id="19">
    <w:p w14:paraId="492F3CAF" w14:textId="5180C57C" w:rsidR="00D36633" w:rsidRPr="00A86B21" w:rsidRDefault="00D36633">
      <w:pPr>
        <w:pStyle w:val="FootnoteText"/>
      </w:pPr>
      <w:r w:rsidRPr="00A86B21">
        <w:rPr>
          <w:rStyle w:val="FootnoteReference"/>
        </w:rPr>
        <w:footnoteRef/>
      </w:r>
      <w:r w:rsidRPr="00A86B21">
        <w:t xml:space="preserve"> </w:t>
      </w:r>
      <w:r w:rsidR="004735D5" w:rsidRPr="00A86B21">
        <w:rPr>
          <w:bCs/>
        </w:rPr>
        <w:t>Anti-money</w:t>
      </w:r>
      <w:r w:rsidRPr="00A86B21">
        <w:rPr>
          <w:bCs/>
        </w:rPr>
        <w:t xml:space="preserve"> laundering and counter terrorism prevention law (</w:t>
      </w:r>
      <w:r w:rsidRPr="00A86B21">
        <w:rPr>
          <w:bCs/>
          <w:i/>
        </w:rPr>
        <w:t>Zakon o sprečavanju pranja novca i financiranja terorizma</w:t>
      </w:r>
      <w:r w:rsidRPr="00A86B21">
        <w:rPr>
          <w:bCs/>
        </w:rPr>
        <w:t xml:space="preserve">), OG 108/2017, available at </w:t>
      </w:r>
      <w:hyperlink r:id="rId11" w:history="1">
        <w:r w:rsidRPr="00A86B21">
          <w:rPr>
            <w:rStyle w:val="Hyperlink"/>
            <w:bCs/>
          </w:rPr>
          <w:t>https://narodne-novine.nn.hr/clanci/sluzbeni/2017_11_108_2488.html</w:t>
        </w:r>
      </w:hyperlink>
      <w:r w:rsidRPr="00A86B21">
        <w:rPr>
          <w:bCs/>
        </w:rPr>
        <w:t xml:space="preserve">.  </w:t>
      </w:r>
    </w:p>
  </w:footnote>
  <w:footnote w:id="20">
    <w:p w14:paraId="66EF71F8" w14:textId="2F447666" w:rsidR="00B14957" w:rsidRPr="00A86B21" w:rsidRDefault="00B14957" w:rsidP="00B14957">
      <w:pPr>
        <w:pStyle w:val="FootnoteText"/>
      </w:pPr>
      <w:r w:rsidRPr="00A86B21">
        <w:rPr>
          <w:rStyle w:val="FootnoteReference"/>
        </w:rPr>
        <w:footnoteRef/>
      </w:r>
      <w:r w:rsidRPr="00A86B21">
        <w:t xml:space="preserve"> Information </w:t>
      </w:r>
      <w:r w:rsidR="005F1CA0" w:rsidRPr="00A86B21">
        <w:t xml:space="preserve">obtained </w:t>
      </w:r>
      <w:r w:rsidRPr="00A86B21">
        <w:t>through consultation with Ministry of Interior</w:t>
      </w:r>
      <w:r w:rsidR="005F1CA0" w:rsidRPr="00A86B21">
        <w:t xml:space="preserve"> representative</w:t>
      </w:r>
      <w:r w:rsidRPr="00A86B21">
        <w:t>, 9 April 2018 (in writing).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6D5F8F"/>
    <w:multiLevelType w:val="hybridMultilevel"/>
    <w:tmpl w:val="9962B76C"/>
    <w:lvl w:ilvl="0" w:tplc="041A0003">
      <w:start w:val="1"/>
      <w:numFmt w:val="bullet"/>
      <w:lvlText w:val="o"/>
      <w:lvlJc w:val="left"/>
      <w:pPr>
        <w:ind w:left="2280" w:hanging="360"/>
      </w:pPr>
      <w:rPr>
        <w:rFonts w:ascii="Courier New" w:hAnsi="Courier New" w:cs="Courier New" w:hint="default"/>
      </w:rPr>
    </w:lvl>
    <w:lvl w:ilvl="1" w:tplc="041A0003" w:tentative="1">
      <w:start w:val="1"/>
      <w:numFmt w:val="bullet"/>
      <w:lvlText w:val="o"/>
      <w:lvlJc w:val="left"/>
      <w:pPr>
        <w:ind w:left="3000" w:hanging="360"/>
      </w:pPr>
      <w:rPr>
        <w:rFonts w:ascii="Courier New" w:hAnsi="Courier New" w:cs="Courier New" w:hint="default"/>
      </w:rPr>
    </w:lvl>
    <w:lvl w:ilvl="2" w:tplc="041A0005" w:tentative="1">
      <w:start w:val="1"/>
      <w:numFmt w:val="bullet"/>
      <w:lvlText w:val=""/>
      <w:lvlJc w:val="left"/>
      <w:pPr>
        <w:ind w:left="3720" w:hanging="360"/>
      </w:pPr>
      <w:rPr>
        <w:rFonts w:ascii="Wingdings" w:hAnsi="Wingdings" w:hint="default"/>
      </w:rPr>
    </w:lvl>
    <w:lvl w:ilvl="3" w:tplc="041A0001" w:tentative="1">
      <w:start w:val="1"/>
      <w:numFmt w:val="bullet"/>
      <w:lvlText w:val=""/>
      <w:lvlJc w:val="left"/>
      <w:pPr>
        <w:ind w:left="4440" w:hanging="360"/>
      </w:pPr>
      <w:rPr>
        <w:rFonts w:ascii="Symbol" w:hAnsi="Symbol" w:hint="default"/>
      </w:rPr>
    </w:lvl>
    <w:lvl w:ilvl="4" w:tplc="041A0003" w:tentative="1">
      <w:start w:val="1"/>
      <w:numFmt w:val="bullet"/>
      <w:lvlText w:val="o"/>
      <w:lvlJc w:val="left"/>
      <w:pPr>
        <w:ind w:left="5160" w:hanging="360"/>
      </w:pPr>
      <w:rPr>
        <w:rFonts w:ascii="Courier New" w:hAnsi="Courier New" w:cs="Courier New" w:hint="default"/>
      </w:rPr>
    </w:lvl>
    <w:lvl w:ilvl="5" w:tplc="041A0005" w:tentative="1">
      <w:start w:val="1"/>
      <w:numFmt w:val="bullet"/>
      <w:lvlText w:val=""/>
      <w:lvlJc w:val="left"/>
      <w:pPr>
        <w:ind w:left="5880" w:hanging="360"/>
      </w:pPr>
      <w:rPr>
        <w:rFonts w:ascii="Wingdings" w:hAnsi="Wingdings" w:hint="default"/>
      </w:rPr>
    </w:lvl>
    <w:lvl w:ilvl="6" w:tplc="041A0001" w:tentative="1">
      <w:start w:val="1"/>
      <w:numFmt w:val="bullet"/>
      <w:lvlText w:val=""/>
      <w:lvlJc w:val="left"/>
      <w:pPr>
        <w:ind w:left="6600" w:hanging="360"/>
      </w:pPr>
      <w:rPr>
        <w:rFonts w:ascii="Symbol" w:hAnsi="Symbol" w:hint="default"/>
      </w:rPr>
    </w:lvl>
    <w:lvl w:ilvl="7" w:tplc="041A0003" w:tentative="1">
      <w:start w:val="1"/>
      <w:numFmt w:val="bullet"/>
      <w:lvlText w:val="o"/>
      <w:lvlJc w:val="left"/>
      <w:pPr>
        <w:ind w:left="7320" w:hanging="360"/>
      </w:pPr>
      <w:rPr>
        <w:rFonts w:ascii="Courier New" w:hAnsi="Courier New" w:cs="Courier New" w:hint="default"/>
      </w:rPr>
    </w:lvl>
    <w:lvl w:ilvl="8" w:tplc="041A0005" w:tentative="1">
      <w:start w:val="1"/>
      <w:numFmt w:val="bullet"/>
      <w:lvlText w:val=""/>
      <w:lvlJc w:val="left"/>
      <w:pPr>
        <w:ind w:left="8040" w:hanging="360"/>
      </w:pPr>
      <w:rPr>
        <w:rFonts w:ascii="Wingdings" w:hAnsi="Wingdings" w:hint="default"/>
      </w:rPr>
    </w:lvl>
  </w:abstractNum>
  <w:abstractNum w:abstractNumId="1" w15:restartNumberingAfterBreak="0">
    <w:nsid w:val="0A7B4BEF"/>
    <w:multiLevelType w:val="multilevel"/>
    <w:tmpl w:val="041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15:restartNumberingAfterBreak="0">
    <w:nsid w:val="17A6790B"/>
    <w:multiLevelType w:val="hybridMultilevel"/>
    <w:tmpl w:val="CEDC84B8"/>
    <w:lvl w:ilvl="0" w:tplc="08090015">
      <w:start w:val="1"/>
      <w:numFmt w:val="bullet"/>
      <w:lvlText w:val=""/>
      <w:lvlJc w:val="left"/>
      <w:pPr>
        <w:ind w:left="720" w:hanging="360"/>
      </w:pPr>
      <w:rPr>
        <w:rFonts w:ascii="Wingdings" w:hAnsi="Wingdings" w:hint="default"/>
        <w:b w:val="0"/>
        <w:i w:val="0"/>
        <w:color w:val="4F81BD"/>
        <w:sz w:val="16"/>
        <w:u w:color="0000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17378C"/>
    <w:multiLevelType w:val="hybridMultilevel"/>
    <w:tmpl w:val="67BADC6A"/>
    <w:lvl w:ilvl="0" w:tplc="041A0001">
      <w:start w:val="1"/>
      <w:numFmt w:val="bullet"/>
      <w:lvlText w:val=""/>
      <w:lvlJc w:val="left"/>
      <w:pPr>
        <w:ind w:left="1854" w:hanging="360"/>
      </w:pPr>
      <w:rPr>
        <w:rFonts w:ascii="Symbol" w:hAnsi="Symbol" w:hint="default"/>
      </w:rPr>
    </w:lvl>
    <w:lvl w:ilvl="1" w:tplc="041A0003" w:tentative="1">
      <w:start w:val="1"/>
      <w:numFmt w:val="bullet"/>
      <w:lvlText w:val="o"/>
      <w:lvlJc w:val="left"/>
      <w:pPr>
        <w:ind w:left="2574" w:hanging="360"/>
      </w:pPr>
      <w:rPr>
        <w:rFonts w:ascii="Courier New" w:hAnsi="Courier New" w:cs="Courier New" w:hint="default"/>
      </w:rPr>
    </w:lvl>
    <w:lvl w:ilvl="2" w:tplc="041A0005" w:tentative="1">
      <w:start w:val="1"/>
      <w:numFmt w:val="bullet"/>
      <w:lvlText w:val=""/>
      <w:lvlJc w:val="left"/>
      <w:pPr>
        <w:ind w:left="3294" w:hanging="360"/>
      </w:pPr>
      <w:rPr>
        <w:rFonts w:ascii="Wingdings" w:hAnsi="Wingdings" w:hint="default"/>
      </w:rPr>
    </w:lvl>
    <w:lvl w:ilvl="3" w:tplc="041A0001" w:tentative="1">
      <w:start w:val="1"/>
      <w:numFmt w:val="bullet"/>
      <w:lvlText w:val=""/>
      <w:lvlJc w:val="left"/>
      <w:pPr>
        <w:ind w:left="4014" w:hanging="360"/>
      </w:pPr>
      <w:rPr>
        <w:rFonts w:ascii="Symbol" w:hAnsi="Symbol" w:hint="default"/>
      </w:rPr>
    </w:lvl>
    <w:lvl w:ilvl="4" w:tplc="041A0003" w:tentative="1">
      <w:start w:val="1"/>
      <w:numFmt w:val="bullet"/>
      <w:lvlText w:val="o"/>
      <w:lvlJc w:val="left"/>
      <w:pPr>
        <w:ind w:left="4734" w:hanging="360"/>
      </w:pPr>
      <w:rPr>
        <w:rFonts w:ascii="Courier New" w:hAnsi="Courier New" w:cs="Courier New" w:hint="default"/>
      </w:rPr>
    </w:lvl>
    <w:lvl w:ilvl="5" w:tplc="041A0005" w:tentative="1">
      <w:start w:val="1"/>
      <w:numFmt w:val="bullet"/>
      <w:lvlText w:val=""/>
      <w:lvlJc w:val="left"/>
      <w:pPr>
        <w:ind w:left="5454" w:hanging="360"/>
      </w:pPr>
      <w:rPr>
        <w:rFonts w:ascii="Wingdings" w:hAnsi="Wingdings" w:hint="default"/>
      </w:rPr>
    </w:lvl>
    <w:lvl w:ilvl="6" w:tplc="041A0001" w:tentative="1">
      <w:start w:val="1"/>
      <w:numFmt w:val="bullet"/>
      <w:lvlText w:val=""/>
      <w:lvlJc w:val="left"/>
      <w:pPr>
        <w:ind w:left="6174" w:hanging="360"/>
      </w:pPr>
      <w:rPr>
        <w:rFonts w:ascii="Symbol" w:hAnsi="Symbol" w:hint="default"/>
      </w:rPr>
    </w:lvl>
    <w:lvl w:ilvl="7" w:tplc="041A0003" w:tentative="1">
      <w:start w:val="1"/>
      <w:numFmt w:val="bullet"/>
      <w:lvlText w:val="o"/>
      <w:lvlJc w:val="left"/>
      <w:pPr>
        <w:ind w:left="6894" w:hanging="360"/>
      </w:pPr>
      <w:rPr>
        <w:rFonts w:ascii="Courier New" w:hAnsi="Courier New" w:cs="Courier New" w:hint="default"/>
      </w:rPr>
    </w:lvl>
    <w:lvl w:ilvl="8" w:tplc="041A0005" w:tentative="1">
      <w:start w:val="1"/>
      <w:numFmt w:val="bullet"/>
      <w:lvlText w:val=""/>
      <w:lvlJc w:val="left"/>
      <w:pPr>
        <w:ind w:left="7614" w:hanging="360"/>
      </w:pPr>
      <w:rPr>
        <w:rFonts w:ascii="Wingdings" w:hAnsi="Wingdings" w:hint="default"/>
      </w:rPr>
    </w:lvl>
  </w:abstractNum>
  <w:abstractNum w:abstractNumId="4" w15:restartNumberingAfterBreak="0">
    <w:nsid w:val="22A37A5C"/>
    <w:multiLevelType w:val="multilevel"/>
    <w:tmpl w:val="041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15:restartNumberingAfterBreak="0">
    <w:nsid w:val="2AA420F9"/>
    <w:multiLevelType w:val="hybridMultilevel"/>
    <w:tmpl w:val="EEEEC400"/>
    <w:lvl w:ilvl="0" w:tplc="08090015">
      <w:start w:val="1"/>
      <w:numFmt w:val="bullet"/>
      <w:lvlText w:val=""/>
      <w:lvlJc w:val="left"/>
      <w:pPr>
        <w:ind w:left="1571" w:hanging="360"/>
      </w:pPr>
      <w:rPr>
        <w:rFonts w:ascii="Wingdings" w:hAnsi="Wingdings" w:hint="default"/>
        <w:b w:val="0"/>
        <w:i w:val="0"/>
        <w:color w:val="4F81BD"/>
        <w:sz w:val="16"/>
        <w:u w:color="000080"/>
      </w:rPr>
    </w:lvl>
    <w:lvl w:ilvl="1" w:tplc="041A0003" w:tentative="1">
      <w:start w:val="1"/>
      <w:numFmt w:val="bullet"/>
      <w:lvlText w:val="o"/>
      <w:lvlJc w:val="left"/>
      <w:pPr>
        <w:ind w:left="2291" w:hanging="360"/>
      </w:pPr>
      <w:rPr>
        <w:rFonts w:ascii="Courier New" w:hAnsi="Courier New" w:cs="Courier New" w:hint="default"/>
      </w:rPr>
    </w:lvl>
    <w:lvl w:ilvl="2" w:tplc="041A0005" w:tentative="1">
      <w:start w:val="1"/>
      <w:numFmt w:val="bullet"/>
      <w:lvlText w:val=""/>
      <w:lvlJc w:val="left"/>
      <w:pPr>
        <w:ind w:left="3011" w:hanging="360"/>
      </w:pPr>
      <w:rPr>
        <w:rFonts w:ascii="Wingdings" w:hAnsi="Wingdings" w:hint="default"/>
      </w:rPr>
    </w:lvl>
    <w:lvl w:ilvl="3" w:tplc="041A0001" w:tentative="1">
      <w:start w:val="1"/>
      <w:numFmt w:val="bullet"/>
      <w:lvlText w:val=""/>
      <w:lvlJc w:val="left"/>
      <w:pPr>
        <w:ind w:left="3731" w:hanging="360"/>
      </w:pPr>
      <w:rPr>
        <w:rFonts w:ascii="Symbol" w:hAnsi="Symbol" w:hint="default"/>
      </w:rPr>
    </w:lvl>
    <w:lvl w:ilvl="4" w:tplc="041A0003" w:tentative="1">
      <w:start w:val="1"/>
      <w:numFmt w:val="bullet"/>
      <w:lvlText w:val="o"/>
      <w:lvlJc w:val="left"/>
      <w:pPr>
        <w:ind w:left="4451" w:hanging="360"/>
      </w:pPr>
      <w:rPr>
        <w:rFonts w:ascii="Courier New" w:hAnsi="Courier New" w:cs="Courier New" w:hint="default"/>
      </w:rPr>
    </w:lvl>
    <w:lvl w:ilvl="5" w:tplc="041A0005" w:tentative="1">
      <w:start w:val="1"/>
      <w:numFmt w:val="bullet"/>
      <w:lvlText w:val=""/>
      <w:lvlJc w:val="left"/>
      <w:pPr>
        <w:ind w:left="5171" w:hanging="360"/>
      </w:pPr>
      <w:rPr>
        <w:rFonts w:ascii="Wingdings" w:hAnsi="Wingdings" w:hint="default"/>
      </w:rPr>
    </w:lvl>
    <w:lvl w:ilvl="6" w:tplc="041A0001" w:tentative="1">
      <w:start w:val="1"/>
      <w:numFmt w:val="bullet"/>
      <w:lvlText w:val=""/>
      <w:lvlJc w:val="left"/>
      <w:pPr>
        <w:ind w:left="5891" w:hanging="360"/>
      </w:pPr>
      <w:rPr>
        <w:rFonts w:ascii="Symbol" w:hAnsi="Symbol" w:hint="default"/>
      </w:rPr>
    </w:lvl>
    <w:lvl w:ilvl="7" w:tplc="041A0003" w:tentative="1">
      <w:start w:val="1"/>
      <w:numFmt w:val="bullet"/>
      <w:lvlText w:val="o"/>
      <w:lvlJc w:val="left"/>
      <w:pPr>
        <w:ind w:left="6611" w:hanging="360"/>
      </w:pPr>
      <w:rPr>
        <w:rFonts w:ascii="Courier New" w:hAnsi="Courier New" w:cs="Courier New" w:hint="default"/>
      </w:rPr>
    </w:lvl>
    <w:lvl w:ilvl="8" w:tplc="041A0005" w:tentative="1">
      <w:start w:val="1"/>
      <w:numFmt w:val="bullet"/>
      <w:lvlText w:val=""/>
      <w:lvlJc w:val="left"/>
      <w:pPr>
        <w:ind w:left="7331" w:hanging="360"/>
      </w:pPr>
      <w:rPr>
        <w:rFonts w:ascii="Wingdings" w:hAnsi="Wingdings" w:hint="default"/>
      </w:rPr>
    </w:lvl>
  </w:abstractNum>
  <w:abstractNum w:abstractNumId="6" w15:restartNumberingAfterBreak="0">
    <w:nsid w:val="2E8A23A1"/>
    <w:multiLevelType w:val="hybridMultilevel"/>
    <w:tmpl w:val="0830525A"/>
    <w:lvl w:ilvl="0" w:tplc="041A0003">
      <w:start w:val="1"/>
      <w:numFmt w:val="bullet"/>
      <w:lvlText w:val="o"/>
      <w:lvlJc w:val="left"/>
      <w:pPr>
        <w:ind w:left="720" w:hanging="360"/>
      </w:pPr>
      <w:rPr>
        <w:rFonts w:ascii="Courier New" w:hAnsi="Courier New" w:cs="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317B72AA"/>
    <w:multiLevelType w:val="hybridMultilevel"/>
    <w:tmpl w:val="615ED624"/>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32CF6FC6"/>
    <w:multiLevelType w:val="hybridMultilevel"/>
    <w:tmpl w:val="84683444"/>
    <w:lvl w:ilvl="0" w:tplc="8FBEED3C">
      <w:start w:val="1"/>
      <w:numFmt w:val="bullet"/>
      <w:lvlText w:val=""/>
      <w:lvlJc w:val="left"/>
      <w:pPr>
        <w:ind w:left="720" w:hanging="360"/>
      </w:pPr>
      <w:rPr>
        <w:rFonts w:ascii="Wingdings" w:hAnsi="Wingdings" w:hint="default"/>
        <w:b w:val="0"/>
        <w:i w:val="0"/>
        <w:color w:val="4F81BD"/>
        <w:sz w:val="16"/>
        <w:u w:color="00008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D066D4"/>
    <w:multiLevelType w:val="hybridMultilevel"/>
    <w:tmpl w:val="1E621468"/>
    <w:lvl w:ilvl="0" w:tplc="0809000F">
      <w:start w:val="1"/>
      <w:numFmt w:val="decimal"/>
      <w:lvlText w:val="%1."/>
      <w:lvlJc w:val="left"/>
      <w:pPr>
        <w:ind w:left="720" w:hanging="360"/>
      </w:pPr>
    </w:lvl>
    <w:lvl w:ilvl="1" w:tplc="0809000F">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BD22741"/>
    <w:multiLevelType w:val="multilevel"/>
    <w:tmpl w:val="9C94776A"/>
    <w:lvl w:ilvl="0">
      <w:start w:val="1"/>
      <w:numFmt w:val="bullet"/>
      <w:pStyle w:val="MMultilevel"/>
      <w:lvlText w:val=""/>
      <w:lvlJc w:val="left"/>
      <w:pPr>
        <w:ind w:left="425" w:hanging="425"/>
      </w:pPr>
      <w:rPr>
        <w:rFonts w:ascii="Wingdings" w:hAnsi="Wingdings" w:hint="default"/>
        <w:caps w:val="0"/>
        <w:strike w:val="0"/>
        <w:dstrike w:val="0"/>
        <w:vanish w:val="0"/>
        <w:color w:val="4472C4" w:themeColor="accent1"/>
        <w:sz w:val="16"/>
        <w:szCs w:val="1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851"/>
        </w:tabs>
        <w:ind w:left="851" w:hanging="426"/>
      </w:pPr>
      <w:rPr>
        <w:rFonts w:ascii="Wingdings" w:hAnsi="Wingdings" w:hint="default"/>
        <w:color w:val="4472C4" w:themeColor="accent1"/>
      </w:rPr>
    </w:lvl>
    <w:lvl w:ilvl="2">
      <w:start w:val="1"/>
      <w:numFmt w:val="bullet"/>
      <w:lvlText w:val=""/>
      <w:lvlJc w:val="left"/>
      <w:pPr>
        <w:tabs>
          <w:tab w:val="num" w:pos="1276"/>
        </w:tabs>
        <w:ind w:left="1276" w:hanging="425"/>
      </w:pPr>
      <w:rPr>
        <w:rFonts w:ascii="Wingdings" w:hAnsi="Wingdings" w:hint="default"/>
        <w:color w:val="7AB800"/>
      </w:rPr>
    </w:lvl>
    <w:lvl w:ilvl="3">
      <w:start w:val="1"/>
      <w:numFmt w:val="bullet"/>
      <w:lvlText w:val=""/>
      <w:lvlJc w:val="left"/>
      <w:pPr>
        <w:tabs>
          <w:tab w:val="num" w:pos="1701"/>
        </w:tabs>
        <w:ind w:left="1701" w:hanging="425"/>
      </w:pPr>
      <w:rPr>
        <w:rFonts w:ascii="Symbol" w:hAnsi="Symbol" w:hint="default"/>
        <w:caps w:val="0"/>
        <w:strike w:val="0"/>
        <w:dstrike w:val="0"/>
        <w:vanish w:val="0"/>
        <w:color w:val="7AB8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40A650B8"/>
    <w:multiLevelType w:val="hybridMultilevel"/>
    <w:tmpl w:val="D5FA59EA"/>
    <w:lvl w:ilvl="0" w:tplc="0809000F">
      <w:start w:val="1"/>
      <w:numFmt w:val="decimal"/>
      <w:lvlText w:val="%1."/>
      <w:lvlJc w:val="left"/>
      <w:pPr>
        <w:ind w:left="720" w:hanging="360"/>
      </w:pPr>
    </w:lvl>
    <w:lvl w:ilvl="1" w:tplc="0809000F">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6FC0024"/>
    <w:multiLevelType w:val="hybridMultilevel"/>
    <w:tmpl w:val="2C843BF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4D6A0F33"/>
    <w:multiLevelType w:val="hybridMultilevel"/>
    <w:tmpl w:val="64D48458"/>
    <w:lvl w:ilvl="0" w:tplc="8FBEED3C">
      <w:start w:val="1"/>
      <w:numFmt w:val="bullet"/>
      <w:lvlText w:val=""/>
      <w:lvlJc w:val="left"/>
      <w:pPr>
        <w:ind w:left="720" w:hanging="360"/>
      </w:pPr>
      <w:rPr>
        <w:rFonts w:ascii="Wingdings" w:hAnsi="Wingdings" w:hint="default"/>
        <w:b w:val="0"/>
        <w:i w:val="0"/>
        <w:color w:val="4F81BD"/>
        <w:sz w:val="16"/>
        <w:u w:color="0000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29E4EB0"/>
    <w:multiLevelType w:val="hybridMultilevel"/>
    <w:tmpl w:val="E1C280A4"/>
    <w:lvl w:ilvl="0" w:tplc="041A0001">
      <w:start w:val="1"/>
      <w:numFmt w:val="bullet"/>
      <w:lvlText w:val=""/>
      <w:lvlJc w:val="left"/>
      <w:pPr>
        <w:ind w:left="2291" w:hanging="360"/>
      </w:pPr>
      <w:rPr>
        <w:rFonts w:ascii="Symbol" w:hAnsi="Symbol" w:hint="default"/>
      </w:rPr>
    </w:lvl>
    <w:lvl w:ilvl="1" w:tplc="041A0003" w:tentative="1">
      <w:start w:val="1"/>
      <w:numFmt w:val="bullet"/>
      <w:lvlText w:val="o"/>
      <w:lvlJc w:val="left"/>
      <w:pPr>
        <w:ind w:left="3011" w:hanging="360"/>
      </w:pPr>
      <w:rPr>
        <w:rFonts w:ascii="Courier New" w:hAnsi="Courier New" w:cs="Courier New" w:hint="default"/>
      </w:rPr>
    </w:lvl>
    <w:lvl w:ilvl="2" w:tplc="041A0005" w:tentative="1">
      <w:start w:val="1"/>
      <w:numFmt w:val="bullet"/>
      <w:lvlText w:val=""/>
      <w:lvlJc w:val="left"/>
      <w:pPr>
        <w:ind w:left="3731" w:hanging="360"/>
      </w:pPr>
      <w:rPr>
        <w:rFonts w:ascii="Wingdings" w:hAnsi="Wingdings" w:hint="default"/>
      </w:rPr>
    </w:lvl>
    <w:lvl w:ilvl="3" w:tplc="041A0001" w:tentative="1">
      <w:start w:val="1"/>
      <w:numFmt w:val="bullet"/>
      <w:lvlText w:val=""/>
      <w:lvlJc w:val="left"/>
      <w:pPr>
        <w:ind w:left="4451" w:hanging="360"/>
      </w:pPr>
      <w:rPr>
        <w:rFonts w:ascii="Symbol" w:hAnsi="Symbol" w:hint="default"/>
      </w:rPr>
    </w:lvl>
    <w:lvl w:ilvl="4" w:tplc="041A0003" w:tentative="1">
      <w:start w:val="1"/>
      <w:numFmt w:val="bullet"/>
      <w:lvlText w:val="o"/>
      <w:lvlJc w:val="left"/>
      <w:pPr>
        <w:ind w:left="5171" w:hanging="360"/>
      </w:pPr>
      <w:rPr>
        <w:rFonts w:ascii="Courier New" w:hAnsi="Courier New" w:cs="Courier New" w:hint="default"/>
      </w:rPr>
    </w:lvl>
    <w:lvl w:ilvl="5" w:tplc="041A0005" w:tentative="1">
      <w:start w:val="1"/>
      <w:numFmt w:val="bullet"/>
      <w:lvlText w:val=""/>
      <w:lvlJc w:val="left"/>
      <w:pPr>
        <w:ind w:left="5891" w:hanging="360"/>
      </w:pPr>
      <w:rPr>
        <w:rFonts w:ascii="Wingdings" w:hAnsi="Wingdings" w:hint="default"/>
      </w:rPr>
    </w:lvl>
    <w:lvl w:ilvl="6" w:tplc="041A0001" w:tentative="1">
      <w:start w:val="1"/>
      <w:numFmt w:val="bullet"/>
      <w:lvlText w:val=""/>
      <w:lvlJc w:val="left"/>
      <w:pPr>
        <w:ind w:left="6611" w:hanging="360"/>
      </w:pPr>
      <w:rPr>
        <w:rFonts w:ascii="Symbol" w:hAnsi="Symbol" w:hint="default"/>
      </w:rPr>
    </w:lvl>
    <w:lvl w:ilvl="7" w:tplc="041A0003" w:tentative="1">
      <w:start w:val="1"/>
      <w:numFmt w:val="bullet"/>
      <w:lvlText w:val="o"/>
      <w:lvlJc w:val="left"/>
      <w:pPr>
        <w:ind w:left="7331" w:hanging="360"/>
      </w:pPr>
      <w:rPr>
        <w:rFonts w:ascii="Courier New" w:hAnsi="Courier New" w:cs="Courier New" w:hint="default"/>
      </w:rPr>
    </w:lvl>
    <w:lvl w:ilvl="8" w:tplc="041A0005" w:tentative="1">
      <w:start w:val="1"/>
      <w:numFmt w:val="bullet"/>
      <w:lvlText w:val=""/>
      <w:lvlJc w:val="left"/>
      <w:pPr>
        <w:ind w:left="8051" w:hanging="360"/>
      </w:pPr>
      <w:rPr>
        <w:rFonts w:ascii="Wingdings" w:hAnsi="Wingdings" w:hint="default"/>
      </w:rPr>
    </w:lvl>
  </w:abstractNum>
  <w:abstractNum w:abstractNumId="15" w15:restartNumberingAfterBreak="0">
    <w:nsid w:val="56280EAF"/>
    <w:multiLevelType w:val="hybridMultilevel"/>
    <w:tmpl w:val="449C72C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C612FFB"/>
    <w:multiLevelType w:val="hybridMultilevel"/>
    <w:tmpl w:val="3EDC06F2"/>
    <w:lvl w:ilvl="0" w:tplc="0809000F">
      <w:start w:val="1"/>
      <w:numFmt w:val="decimal"/>
      <w:lvlText w:val="%1."/>
      <w:lvlJc w:val="left"/>
      <w:pPr>
        <w:ind w:left="720" w:hanging="360"/>
      </w:pPr>
    </w:lvl>
    <w:lvl w:ilvl="1" w:tplc="0809000F">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EE253B6"/>
    <w:multiLevelType w:val="hybridMultilevel"/>
    <w:tmpl w:val="6240BDE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63CA1252"/>
    <w:multiLevelType w:val="multilevel"/>
    <w:tmpl w:val="D5D6F558"/>
    <w:lvl w:ilvl="0">
      <w:start w:val="1"/>
      <w:numFmt w:val="bullet"/>
      <w:lvlText w:val="-"/>
      <w:lvlJc w:val="left"/>
      <w:pPr>
        <w:ind w:left="425" w:hanging="425"/>
      </w:pPr>
      <w:rPr>
        <w:rFonts w:ascii="Times New Roman" w:eastAsia="Times New Roman" w:hAnsi="Times New Roman" w:cs="Times New Roman" w:hint="default"/>
        <w:caps w:val="0"/>
        <w:strike w:val="0"/>
        <w:dstrike w:val="0"/>
        <w:vanish w:val="0"/>
        <w:color w:val="FF0000"/>
        <w:sz w:val="16"/>
        <w:szCs w:val="1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851"/>
        </w:tabs>
        <w:ind w:left="851" w:hanging="426"/>
      </w:pPr>
      <w:rPr>
        <w:rFonts w:ascii="Wingdings" w:hAnsi="Wingdings" w:hint="default"/>
        <w:color w:val="4472C4" w:themeColor="accent1"/>
      </w:rPr>
    </w:lvl>
    <w:lvl w:ilvl="2">
      <w:start w:val="1"/>
      <w:numFmt w:val="bullet"/>
      <w:lvlText w:val=""/>
      <w:lvlJc w:val="left"/>
      <w:pPr>
        <w:tabs>
          <w:tab w:val="num" w:pos="1276"/>
        </w:tabs>
        <w:ind w:left="1276" w:hanging="425"/>
      </w:pPr>
      <w:rPr>
        <w:rFonts w:ascii="Wingdings" w:hAnsi="Wingdings" w:hint="default"/>
        <w:color w:val="7AB800"/>
      </w:rPr>
    </w:lvl>
    <w:lvl w:ilvl="3">
      <w:start w:val="1"/>
      <w:numFmt w:val="bullet"/>
      <w:lvlText w:val=""/>
      <w:lvlJc w:val="left"/>
      <w:pPr>
        <w:tabs>
          <w:tab w:val="num" w:pos="1701"/>
        </w:tabs>
        <w:ind w:left="1701" w:hanging="425"/>
      </w:pPr>
      <w:rPr>
        <w:rFonts w:ascii="Symbol" w:hAnsi="Symbol" w:hint="default"/>
        <w:caps w:val="0"/>
        <w:strike w:val="0"/>
        <w:dstrike w:val="0"/>
        <w:vanish w:val="0"/>
        <w:color w:val="FF00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9" w15:restartNumberingAfterBreak="0">
    <w:nsid w:val="66F80B1E"/>
    <w:multiLevelType w:val="hybridMultilevel"/>
    <w:tmpl w:val="7602BA7C"/>
    <w:lvl w:ilvl="0" w:tplc="041A0001">
      <w:start w:val="1"/>
      <w:numFmt w:val="bullet"/>
      <w:lvlText w:val=""/>
      <w:lvlJc w:val="left"/>
      <w:pPr>
        <w:ind w:left="2880" w:hanging="360"/>
      </w:pPr>
      <w:rPr>
        <w:rFonts w:ascii="Symbol" w:hAnsi="Symbol" w:hint="default"/>
      </w:rPr>
    </w:lvl>
    <w:lvl w:ilvl="1" w:tplc="041A0003" w:tentative="1">
      <w:start w:val="1"/>
      <w:numFmt w:val="bullet"/>
      <w:lvlText w:val="o"/>
      <w:lvlJc w:val="left"/>
      <w:pPr>
        <w:ind w:left="3600" w:hanging="360"/>
      </w:pPr>
      <w:rPr>
        <w:rFonts w:ascii="Courier New" w:hAnsi="Courier New" w:cs="Courier New" w:hint="default"/>
      </w:rPr>
    </w:lvl>
    <w:lvl w:ilvl="2" w:tplc="041A0005" w:tentative="1">
      <w:start w:val="1"/>
      <w:numFmt w:val="bullet"/>
      <w:lvlText w:val=""/>
      <w:lvlJc w:val="left"/>
      <w:pPr>
        <w:ind w:left="4320" w:hanging="360"/>
      </w:pPr>
      <w:rPr>
        <w:rFonts w:ascii="Wingdings" w:hAnsi="Wingdings" w:hint="default"/>
      </w:rPr>
    </w:lvl>
    <w:lvl w:ilvl="3" w:tplc="041A0001" w:tentative="1">
      <w:start w:val="1"/>
      <w:numFmt w:val="bullet"/>
      <w:lvlText w:val=""/>
      <w:lvlJc w:val="left"/>
      <w:pPr>
        <w:ind w:left="5040" w:hanging="360"/>
      </w:pPr>
      <w:rPr>
        <w:rFonts w:ascii="Symbol" w:hAnsi="Symbol" w:hint="default"/>
      </w:rPr>
    </w:lvl>
    <w:lvl w:ilvl="4" w:tplc="041A0003" w:tentative="1">
      <w:start w:val="1"/>
      <w:numFmt w:val="bullet"/>
      <w:lvlText w:val="o"/>
      <w:lvlJc w:val="left"/>
      <w:pPr>
        <w:ind w:left="5760" w:hanging="360"/>
      </w:pPr>
      <w:rPr>
        <w:rFonts w:ascii="Courier New" w:hAnsi="Courier New" w:cs="Courier New" w:hint="default"/>
      </w:rPr>
    </w:lvl>
    <w:lvl w:ilvl="5" w:tplc="041A0005" w:tentative="1">
      <w:start w:val="1"/>
      <w:numFmt w:val="bullet"/>
      <w:lvlText w:val=""/>
      <w:lvlJc w:val="left"/>
      <w:pPr>
        <w:ind w:left="6480" w:hanging="360"/>
      </w:pPr>
      <w:rPr>
        <w:rFonts w:ascii="Wingdings" w:hAnsi="Wingdings" w:hint="default"/>
      </w:rPr>
    </w:lvl>
    <w:lvl w:ilvl="6" w:tplc="041A0001" w:tentative="1">
      <w:start w:val="1"/>
      <w:numFmt w:val="bullet"/>
      <w:lvlText w:val=""/>
      <w:lvlJc w:val="left"/>
      <w:pPr>
        <w:ind w:left="7200" w:hanging="360"/>
      </w:pPr>
      <w:rPr>
        <w:rFonts w:ascii="Symbol" w:hAnsi="Symbol" w:hint="default"/>
      </w:rPr>
    </w:lvl>
    <w:lvl w:ilvl="7" w:tplc="041A0003" w:tentative="1">
      <w:start w:val="1"/>
      <w:numFmt w:val="bullet"/>
      <w:lvlText w:val="o"/>
      <w:lvlJc w:val="left"/>
      <w:pPr>
        <w:ind w:left="7920" w:hanging="360"/>
      </w:pPr>
      <w:rPr>
        <w:rFonts w:ascii="Courier New" w:hAnsi="Courier New" w:cs="Courier New" w:hint="default"/>
      </w:rPr>
    </w:lvl>
    <w:lvl w:ilvl="8" w:tplc="041A0005" w:tentative="1">
      <w:start w:val="1"/>
      <w:numFmt w:val="bullet"/>
      <w:lvlText w:val=""/>
      <w:lvlJc w:val="left"/>
      <w:pPr>
        <w:ind w:left="8640" w:hanging="360"/>
      </w:pPr>
      <w:rPr>
        <w:rFonts w:ascii="Wingdings" w:hAnsi="Wingdings" w:hint="default"/>
      </w:rPr>
    </w:lvl>
  </w:abstractNum>
  <w:abstractNum w:abstractNumId="20" w15:restartNumberingAfterBreak="0">
    <w:nsid w:val="773E491E"/>
    <w:multiLevelType w:val="hybridMultilevel"/>
    <w:tmpl w:val="E5048B6A"/>
    <w:lvl w:ilvl="0" w:tplc="080C000F">
      <w:start w:val="1"/>
      <w:numFmt w:val="decimal"/>
      <w:lvlText w:val="%1."/>
      <w:lvlJc w:val="left"/>
      <w:pPr>
        <w:ind w:left="720" w:hanging="360"/>
      </w:pPr>
    </w:lvl>
    <w:lvl w:ilvl="1" w:tplc="080C000F">
      <w:start w:val="1"/>
      <w:numFmt w:val="decimal"/>
      <w:lvlText w:val="%2."/>
      <w:lvlJc w:val="left"/>
      <w:pPr>
        <w:ind w:left="1440" w:hanging="360"/>
      </w:pPr>
    </w:lvl>
    <w:lvl w:ilvl="2" w:tplc="041A0003">
      <w:start w:val="1"/>
      <w:numFmt w:val="bullet"/>
      <w:lvlText w:val="o"/>
      <w:lvlJc w:val="left"/>
      <w:pPr>
        <w:ind w:left="2160" w:hanging="180"/>
      </w:pPr>
      <w:rPr>
        <w:rFonts w:ascii="Courier New" w:hAnsi="Courier New" w:cs="Courier New" w:hint="default"/>
      </w:rPr>
    </w:lvl>
    <w:lvl w:ilvl="3" w:tplc="8FBEED3C">
      <w:start w:val="1"/>
      <w:numFmt w:val="bullet"/>
      <w:lvlText w:val=""/>
      <w:lvlJc w:val="left"/>
      <w:pPr>
        <w:ind w:left="2880" w:hanging="360"/>
      </w:pPr>
      <w:rPr>
        <w:rFonts w:ascii="Wingdings" w:hAnsi="Wingdings" w:hint="default"/>
        <w:b w:val="0"/>
        <w:i w:val="0"/>
        <w:color w:val="4F81BD"/>
        <w:sz w:val="16"/>
        <w:u w:color="000080"/>
      </w:r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1" w15:restartNumberingAfterBreak="0">
    <w:nsid w:val="7C620C38"/>
    <w:multiLevelType w:val="hybridMultilevel"/>
    <w:tmpl w:val="030883F0"/>
    <w:lvl w:ilvl="0" w:tplc="8FBEED3C">
      <w:start w:val="1"/>
      <w:numFmt w:val="bullet"/>
      <w:lvlText w:val=""/>
      <w:lvlJc w:val="left"/>
      <w:pPr>
        <w:ind w:left="720" w:hanging="360"/>
      </w:pPr>
      <w:rPr>
        <w:rFonts w:ascii="Wingdings" w:hAnsi="Wingdings" w:hint="default"/>
        <w:b w:val="0"/>
        <w:i w:val="0"/>
        <w:color w:val="4F81BD"/>
        <w:sz w:val="16"/>
        <w:u w:color="00008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DD1051E"/>
    <w:multiLevelType w:val="hybridMultilevel"/>
    <w:tmpl w:val="EBC6C23C"/>
    <w:lvl w:ilvl="0" w:tplc="080C000F">
      <w:start w:val="1"/>
      <w:numFmt w:val="decimal"/>
      <w:lvlText w:val="%1."/>
      <w:lvlJc w:val="left"/>
      <w:pPr>
        <w:ind w:left="720" w:hanging="360"/>
      </w:pPr>
    </w:lvl>
    <w:lvl w:ilvl="1" w:tplc="080C000F">
      <w:start w:val="1"/>
      <w:numFmt w:val="decimal"/>
      <w:lvlText w:val="%2."/>
      <w:lvlJc w:val="left"/>
      <w:pPr>
        <w:ind w:left="1440" w:hanging="360"/>
      </w:pPr>
    </w:lvl>
    <w:lvl w:ilvl="2" w:tplc="08090017">
      <w:start w:val="1"/>
      <w:numFmt w:val="lowerLetter"/>
      <w:lvlText w:val="%3)"/>
      <w:lvlJc w:val="left"/>
      <w:pPr>
        <w:ind w:left="2160" w:hanging="180"/>
      </w:pPr>
      <w:rPr>
        <w:rFonts w:hint="default"/>
      </w:r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num w:numId="1">
    <w:abstractNumId w:val="10"/>
  </w:num>
  <w:num w:numId="2">
    <w:abstractNumId w:val="10"/>
  </w:num>
  <w:num w:numId="3">
    <w:abstractNumId w:val="10"/>
  </w:num>
  <w:num w:numId="4">
    <w:abstractNumId w:val="18"/>
  </w:num>
  <w:num w:numId="5">
    <w:abstractNumId w:val="10"/>
  </w:num>
  <w:num w:numId="6">
    <w:abstractNumId w:val="10"/>
  </w:num>
  <w:num w:numId="7">
    <w:abstractNumId w:val="10"/>
  </w:num>
  <w:num w:numId="8">
    <w:abstractNumId w:val="21"/>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10"/>
  </w:num>
  <w:num w:numId="18">
    <w:abstractNumId w:val="2"/>
  </w:num>
  <w:num w:numId="19">
    <w:abstractNumId w:val="15"/>
  </w:num>
  <w:num w:numId="20">
    <w:abstractNumId w:val="11"/>
  </w:num>
  <w:num w:numId="21">
    <w:abstractNumId w:val="20"/>
  </w:num>
  <w:num w:numId="22">
    <w:abstractNumId w:val="22"/>
  </w:num>
  <w:num w:numId="23">
    <w:abstractNumId w:val="4"/>
  </w:num>
  <w:num w:numId="24">
    <w:abstractNumId w:val="1"/>
  </w:num>
  <w:num w:numId="25">
    <w:abstractNumId w:val="17"/>
  </w:num>
  <w:num w:numId="26">
    <w:abstractNumId w:val="3"/>
  </w:num>
  <w:num w:numId="27">
    <w:abstractNumId w:val="0"/>
  </w:num>
  <w:num w:numId="28">
    <w:abstractNumId w:val="6"/>
  </w:num>
  <w:num w:numId="29">
    <w:abstractNumId w:val="5"/>
  </w:num>
  <w:num w:numId="30">
    <w:abstractNumId w:val="19"/>
  </w:num>
  <w:num w:numId="31">
    <w:abstractNumId w:val="12"/>
  </w:num>
  <w:num w:numId="32">
    <w:abstractNumId w:val="14"/>
  </w:num>
  <w:num w:numId="33">
    <w:abstractNumId w:val="13"/>
  </w:num>
  <w:num w:numId="34">
    <w:abstractNumId w:val="9"/>
  </w:num>
  <w:num w:numId="35">
    <w:abstractNumId w:val="7"/>
  </w:num>
  <w:num w:numId="36">
    <w:abstractNumId w:val="8"/>
  </w:num>
  <w:num w:numId="3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3631E0"/>
    <w:rsid w:val="00040BAD"/>
    <w:rsid w:val="000703D7"/>
    <w:rsid w:val="000730C2"/>
    <w:rsid w:val="000B285D"/>
    <w:rsid w:val="000D1BD8"/>
    <w:rsid w:val="000E0D16"/>
    <w:rsid w:val="00126850"/>
    <w:rsid w:val="0014725C"/>
    <w:rsid w:val="00153CC3"/>
    <w:rsid w:val="00181A3A"/>
    <w:rsid w:val="001821A0"/>
    <w:rsid w:val="00182D84"/>
    <w:rsid w:val="001907D6"/>
    <w:rsid w:val="001A5BE9"/>
    <w:rsid w:val="00202506"/>
    <w:rsid w:val="0020411B"/>
    <w:rsid w:val="002177B9"/>
    <w:rsid w:val="00242966"/>
    <w:rsid w:val="00293EA8"/>
    <w:rsid w:val="002A01E9"/>
    <w:rsid w:val="002A4AFA"/>
    <w:rsid w:val="003113F5"/>
    <w:rsid w:val="003631E0"/>
    <w:rsid w:val="00372144"/>
    <w:rsid w:val="003826AA"/>
    <w:rsid w:val="003A0829"/>
    <w:rsid w:val="003B04F8"/>
    <w:rsid w:val="003C7EE3"/>
    <w:rsid w:val="00420784"/>
    <w:rsid w:val="00435360"/>
    <w:rsid w:val="004545E0"/>
    <w:rsid w:val="004735D5"/>
    <w:rsid w:val="004B7171"/>
    <w:rsid w:val="00544A72"/>
    <w:rsid w:val="005556C1"/>
    <w:rsid w:val="00580FA2"/>
    <w:rsid w:val="005C206B"/>
    <w:rsid w:val="005C656C"/>
    <w:rsid w:val="005E6F7E"/>
    <w:rsid w:val="005F1CA0"/>
    <w:rsid w:val="005F7435"/>
    <w:rsid w:val="00607E57"/>
    <w:rsid w:val="00652B5E"/>
    <w:rsid w:val="00661D73"/>
    <w:rsid w:val="00670C44"/>
    <w:rsid w:val="00693129"/>
    <w:rsid w:val="006B2B9E"/>
    <w:rsid w:val="006E76E1"/>
    <w:rsid w:val="006F3CF5"/>
    <w:rsid w:val="00745A53"/>
    <w:rsid w:val="00750FF3"/>
    <w:rsid w:val="007642E2"/>
    <w:rsid w:val="00770C15"/>
    <w:rsid w:val="0077382E"/>
    <w:rsid w:val="007765C2"/>
    <w:rsid w:val="007967EC"/>
    <w:rsid w:val="007B5724"/>
    <w:rsid w:val="007F6871"/>
    <w:rsid w:val="0082366C"/>
    <w:rsid w:val="0083617B"/>
    <w:rsid w:val="008365FF"/>
    <w:rsid w:val="0086028B"/>
    <w:rsid w:val="00896C75"/>
    <w:rsid w:val="008A205A"/>
    <w:rsid w:val="008B15DD"/>
    <w:rsid w:val="008B1AFB"/>
    <w:rsid w:val="00926AE3"/>
    <w:rsid w:val="00957E56"/>
    <w:rsid w:val="009D5200"/>
    <w:rsid w:val="009E08E8"/>
    <w:rsid w:val="009E13C2"/>
    <w:rsid w:val="009E7456"/>
    <w:rsid w:val="009F3F0F"/>
    <w:rsid w:val="00A04F14"/>
    <w:rsid w:val="00A076F4"/>
    <w:rsid w:val="00A1117E"/>
    <w:rsid w:val="00A24DDA"/>
    <w:rsid w:val="00A407C2"/>
    <w:rsid w:val="00A774D2"/>
    <w:rsid w:val="00A86204"/>
    <w:rsid w:val="00A86B21"/>
    <w:rsid w:val="00A87614"/>
    <w:rsid w:val="00A92D29"/>
    <w:rsid w:val="00A93F7F"/>
    <w:rsid w:val="00AA11E2"/>
    <w:rsid w:val="00AD1243"/>
    <w:rsid w:val="00B14957"/>
    <w:rsid w:val="00B24F5B"/>
    <w:rsid w:val="00B3648E"/>
    <w:rsid w:val="00B36CEA"/>
    <w:rsid w:val="00B61FDA"/>
    <w:rsid w:val="00B6334B"/>
    <w:rsid w:val="00B70E03"/>
    <w:rsid w:val="00B94173"/>
    <w:rsid w:val="00B9530A"/>
    <w:rsid w:val="00BF17AB"/>
    <w:rsid w:val="00C20061"/>
    <w:rsid w:val="00C2465A"/>
    <w:rsid w:val="00C33E27"/>
    <w:rsid w:val="00C612FB"/>
    <w:rsid w:val="00C818E6"/>
    <w:rsid w:val="00C82619"/>
    <w:rsid w:val="00C84AA1"/>
    <w:rsid w:val="00CC29AE"/>
    <w:rsid w:val="00CD7CE4"/>
    <w:rsid w:val="00CE11B6"/>
    <w:rsid w:val="00CF07FB"/>
    <w:rsid w:val="00CF0C98"/>
    <w:rsid w:val="00D00CD2"/>
    <w:rsid w:val="00D137C2"/>
    <w:rsid w:val="00D25CE8"/>
    <w:rsid w:val="00D33FFF"/>
    <w:rsid w:val="00D36633"/>
    <w:rsid w:val="00D40111"/>
    <w:rsid w:val="00D44DAF"/>
    <w:rsid w:val="00D54793"/>
    <w:rsid w:val="00D668E1"/>
    <w:rsid w:val="00D67567"/>
    <w:rsid w:val="00D8511D"/>
    <w:rsid w:val="00DA6D1B"/>
    <w:rsid w:val="00DA7115"/>
    <w:rsid w:val="00DB3214"/>
    <w:rsid w:val="00DE1D39"/>
    <w:rsid w:val="00DE79E7"/>
    <w:rsid w:val="00E23BE4"/>
    <w:rsid w:val="00E70622"/>
    <w:rsid w:val="00E77F5C"/>
    <w:rsid w:val="00EC4F75"/>
    <w:rsid w:val="00ED4DE8"/>
    <w:rsid w:val="00EE17B5"/>
    <w:rsid w:val="00EF4096"/>
    <w:rsid w:val="00F07192"/>
    <w:rsid w:val="00F16530"/>
    <w:rsid w:val="00F17EE4"/>
    <w:rsid w:val="00F30040"/>
    <w:rsid w:val="00F434CE"/>
    <w:rsid w:val="00F506D2"/>
    <w:rsid w:val="00F56B46"/>
    <w:rsid w:val="00F86487"/>
    <w:rsid w:val="00F86B11"/>
    <w:rsid w:val="00FB05D3"/>
    <w:rsid w:val="00FB3F54"/>
    <w:rsid w:val="00FE7D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D221B"/>
  <w15:docId w15:val="{8918AC7D-9226-456F-BCD3-C29A92132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18"/>
        <w:szCs w:val="18"/>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H1nonumb">
    <w:name w:val="M H 1 no numb"/>
    <w:basedOn w:val="Normal"/>
    <w:next w:val="Normal"/>
    <w:link w:val="MH1nonumbChar"/>
    <w:qFormat/>
    <w:rsid w:val="003631E0"/>
    <w:pPr>
      <w:keepNext/>
      <w:pageBreakBefore/>
      <w:spacing w:after="480" w:line="240" w:lineRule="auto"/>
      <w:jc w:val="both"/>
      <w:outlineLvl w:val="0"/>
    </w:pPr>
    <w:rPr>
      <w:rFonts w:ascii="Century Gothic" w:eastAsia="Times New Roman" w:hAnsi="Century Gothic"/>
      <w:b/>
      <w:caps/>
      <w:sz w:val="24"/>
      <w:szCs w:val="24"/>
      <w:lang w:eastAsia="fr-FR"/>
    </w:rPr>
  </w:style>
  <w:style w:type="character" w:customStyle="1" w:styleId="MH1nonumbChar">
    <w:name w:val="M H 1 no numb Char"/>
    <w:link w:val="MH1nonumb"/>
    <w:rsid w:val="003631E0"/>
    <w:rPr>
      <w:rFonts w:ascii="Century Gothic" w:eastAsia="Times New Roman" w:hAnsi="Century Gothic"/>
      <w:b/>
      <w:caps/>
      <w:sz w:val="24"/>
      <w:szCs w:val="24"/>
      <w:lang w:eastAsia="fr-FR"/>
    </w:rPr>
  </w:style>
  <w:style w:type="paragraph" w:customStyle="1" w:styleId="MMultilevel">
    <w:name w:val="M Multilevel"/>
    <w:basedOn w:val="Normal"/>
    <w:link w:val="MMultilevelChar"/>
    <w:qFormat/>
    <w:rsid w:val="002A4AFA"/>
    <w:pPr>
      <w:widowControl w:val="0"/>
      <w:numPr>
        <w:numId w:val="1"/>
      </w:numPr>
      <w:spacing w:after="0" w:line="240" w:lineRule="auto"/>
      <w:jc w:val="both"/>
    </w:pPr>
    <w:rPr>
      <w:rFonts w:eastAsia="Times New Roman"/>
      <w:bCs/>
      <w:sz w:val="22"/>
      <w:szCs w:val="22"/>
      <w:lang w:val="en-US" w:eastAsia="fr-FR"/>
    </w:rPr>
  </w:style>
  <w:style w:type="character" w:customStyle="1" w:styleId="MMultilevelChar">
    <w:name w:val="M Multilevel Char"/>
    <w:link w:val="MMultilevel"/>
    <w:rsid w:val="002A4AFA"/>
    <w:rPr>
      <w:rFonts w:eastAsia="Times New Roman"/>
      <w:bCs/>
      <w:sz w:val="22"/>
      <w:szCs w:val="22"/>
      <w:lang w:val="en-US" w:eastAsia="fr-FR"/>
    </w:rPr>
  </w:style>
  <w:style w:type="paragraph" w:styleId="ListParagraph">
    <w:name w:val="List Paragraph"/>
    <w:aliases w:val="Heading 2_sj,List Paragraph1"/>
    <w:basedOn w:val="Normal"/>
    <w:uiPriority w:val="34"/>
    <w:qFormat/>
    <w:rsid w:val="001907D6"/>
    <w:pPr>
      <w:ind w:left="720"/>
      <w:contextualSpacing/>
    </w:pPr>
  </w:style>
  <w:style w:type="paragraph" w:customStyle="1" w:styleId="MBT">
    <w:name w:val="M BT"/>
    <w:basedOn w:val="Normal"/>
    <w:link w:val="MBTChar"/>
    <w:qFormat/>
    <w:rsid w:val="002177B9"/>
    <w:pPr>
      <w:widowControl w:val="0"/>
      <w:spacing w:after="0" w:line="240" w:lineRule="auto"/>
      <w:jc w:val="both"/>
    </w:pPr>
    <w:rPr>
      <w:rFonts w:eastAsia="Times New Roman"/>
      <w:bCs/>
      <w:sz w:val="22"/>
      <w:szCs w:val="22"/>
      <w:lang w:val="en-US" w:eastAsia="fr-FR"/>
    </w:rPr>
  </w:style>
  <w:style w:type="character" w:customStyle="1" w:styleId="MBTChar">
    <w:name w:val="M BT Char"/>
    <w:link w:val="MBT"/>
    <w:rsid w:val="002177B9"/>
    <w:rPr>
      <w:rFonts w:eastAsia="Times New Roman"/>
      <w:bCs/>
      <w:sz w:val="22"/>
      <w:szCs w:val="22"/>
      <w:lang w:val="en-US" w:eastAsia="fr-FR"/>
    </w:rPr>
  </w:style>
  <w:style w:type="character" w:styleId="CommentReference">
    <w:name w:val="annotation reference"/>
    <w:basedOn w:val="DefaultParagraphFont"/>
    <w:uiPriority w:val="99"/>
    <w:semiHidden/>
    <w:unhideWhenUsed/>
    <w:rsid w:val="00C20061"/>
    <w:rPr>
      <w:sz w:val="16"/>
      <w:szCs w:val="16"/>
    </w:rPr>
  </w:style>
  <w:style w:type="paragraph" w:styleId="CommentText">
    <w:name w:val="annotation text"/>
    <w:basedOn w:val="Normal"/>
    <w:link w:val="CommentTextChar"/>
    <w:uiPriority w:val="99"/>
    <w:unhideWhenUsed/>
    <w:rsid w:val="00C20061"/>
    <w:pPr>
      <w:spacing w:line="240" w:lineRule="auto"/>
    </w:pPr>
    <w:rPr>
      <w:sz w:val="20"/>
      <w:szCs w:val="20"/>
    </w:rPr>
  </w:style>
  <w:style w:type="character" w:customStyle="1" w:styleId="CommentTextChar">
    <w:name w:val="Comment Text Char"/>
    <w:basedOn w:val="DefaultParagraphFont"/>
    <w:link w:val="CommentText"/>
    <w:uiPriority w:val="99"/>
    <w:rsid w:val="00C20061"/>
    <w:rPr>
      <w:sz w:val="20"/>
      <w:szCs w:val="20"/>
    </w:rPr>
  </w:style>
  <w:style w:type="paragraph" w:styleId="CommentSubject">
    <w:name w:val="annotation subject"/>
    <w:basedOn w:val="CommentText"/>
    <w:next w:val="CommentText"/>
    <w:link w:val="CommentSubjectChar"/>
    <w:uiPriority w:val="99"/>
    <w:semiHidden/>
    <w:unhideWhenUsed/>
    <w:rsid w:val="00C20061"/>
    <w:rPr>
      <w:b/>
      <w:bCs/>
    </w:rPr>
  </w:style>
  <w:style w:type="character" w:customStyle="1" w:styleId="CommentSubjectChar">
    <w:name w:val="Comment Subject Char"/>
    <w:basedOn w:val="CommentTextChar"/>
    <w:link w:val="CommentSubject"/>
    <w:uiPriority w:val="99"/>
    <w:semiHidden/>
    <w:rsid w:val="00C20061"/>
    <w:rPr>
      <w:b/>
      <w:bCs/>
      <w:sz w:val="20"/>
      <w:szCs w:val="20"/>
    </w:rPr>
  </w:style>
  <w:style w:type="paragraph" w:styleId="BalloonText">
    <w:name w:val="Balloon Text"/>
    <w:basedOn w:val="Normal"/>
    <w:link w:val="BalloonTextChar"/>
    <w:uiPriority w:val="99"/>
    <w:semiHidden/>
    <w:unhideWhenUsed/>
    <w:rsid w:val="00C20061"/>
    <w:pPr>
      <w:spacing w:after="0" w:line="240" w:lineRule="auto"/>
    </w:pPr>
    <w:rPr>
      <w:rFonts w:ascii="Segoe UI" w:hAnsi="Segoe UI" w:cs="Segoe UI"/>
    </w:rPr>
  </w:style>
  <w:style w:type="character" w:customStyle="1" w:styleId="BalloonTextChar">
    <w:name w:val="Balloon Text Char"/>
    <w:basedOn w:val="DefaultParagraphFont"/>
    <w:link w:val="BalloonText"/>
    <w:uiPriority w:val="99"/>
    <w:semiHidden/>
    <w:rsid w:val="00C20061"/>
    <w:rPr>
      <w:rFonts w:ascii="Segoe UI" w:hAnsi="Segoe UI" w:cs="Segoe UI"/>
    </w:rPr>
  </w:style>
  <w:style w:type="paragraph" w:styleId="Revision">
    <w:name w:val="Revision"/>
    <w:hidden/>
    <w:uiPriority w:val="99"/>
    <w:semiHidden/>
    <w:rsid w:val="00040BAD"/>
    <w:pPr>
      <w:spacing w:after="0" w:line="240" w:lineRule="auto"/>
    </w:pPr>
  </w:style>
  <w:style w:type="character" w:styleId="Emphasis">
    <w:name w:val="Emphasis"/>
    <w:uiPriority w:val="20"/>
    <w:qFormat/>
    <w:rsid w:val="00B61FDA"/>
    <w:rPr>
      <w:i/>
    </w:rPr>
  </w:style>
  <w:style w:type="character" w:customStyle="1" w:styleId="st1">
    <w:name w:val="st1"/>
    <w:rsid w:val="00B61FDA"/>
  </w:style>
  <w:style w:type="paragraph" w:styleId="BodyText">
    <w:name w:val="Body Text"/>
    <w:aliases w:val="Body Text A,alt+L,alt+B ja alt+L,.                 alt+L,Double indent Car Car Car,Double indent"/>
    <w:basedOn w:val="Normal"/>
    <w:link w:val="BodyTextChar"/>
    <w:rsid w:val="00D54793"/>
    <w:pPr>
      <w:spacing w:after="0" w:line="240" w:lineRule="auto"/>
    </w:pPr>
    <w:rPr>
      <w:rFonts w:eastAsia="Times New Roman"/>
      <w:sz w:val="24"/>
      <w:szCs w:val="20"/>
      <w:lang w:val="en-US" w:eastAsia="fr-FR"/>
    </w:rPr>
  </w:style>
  <w:style w:type="character" w:customStyle="1" w:styleId="BodyTextChar">
    <w:name w:val="Body Text Char"/>
    <w:aliases w:val="Body Text A Char,alt+L Char,alt+B ja alt+L Char,.                 alt+L Char,Double indent Car Car Car Char,Double indent Char"/>
    <w:basedOn w:val="DefaultParagraphFont"/>
    <w:link w:val="BodyText"/>
    <w:rsid w:val="00D54793"/>
    <w:rPr>
      <w:rFonts w:eastAsia="Times New Roman"/>
      <w:sz w:val="24"/>
      <w:szCs w:val="20"/>
      <w:lang w:val="en-US" w:eastAsia="fr-FR"/>
    </w:rPr>
  </w:style>
  <w:style w:type="paragraph" w:styleId="TOC1">
    <w:name w:val="toc 1"/>
    <w:basedOn w:val="Normal"/>
    <w:next w:val="Normal"/>
    <w:autoRedefine/>
    <w:uiPriority w:val="39"/>
    <w:rsid w:val="00F07192"/>
    <w:pPr>
      <w:tabs>
        <w:tab w:val="left" w:pos="480"/>
        <w:tab w:val="right" w:leader="dot" w:pos="9060"/>
      </w:tabs>
      <w:spacing w:after="0" w:line="240" w:lineRule="auto"/>
      <w:ind w:left="426" w:hanging="426"/>
    </w:pPr>
    <w:rPr>
      <w:rFonts w:ascii="Century Gothic" w:eastAsia="Times New Roman" w:hAnsi="Century Gothic"/>
      <w:b/>
      <w:bCs/>
      <w:caps/>
      <w:noProof/>
      <w:sz w:val="22"/>
      <w:szCs w:val="22"/>
      <w:lang w:val="nl-NL" w:eastAsia="fr-FR"/>
    </w:rPr>
  </w:style>
  <w:style w:type="character" w:styleId="FootnoteReference">
    <w:name w:val="footnote reference"/>
    <w:aliases w:val="Footnote Refernece,BVI fnr,callout,16 Point,Superscript 6 Point,Odwołanie przypisu,Footnote symbol,Footnote Reference Number,Footnote Reference Superscript,SUPERS,Times 10 Point,Exposant 3 Point,Ref,de nota al pie,number, BVI fnr,FR,F"/>
    <w:uiPriority w:val="99"/>
    <w:qFormat/>
    <w:rsid w:val="00F07192"/>
    <w:rPr>
      <w:vertAlign w:val="superscript"/>
    </w:rPr>
  </w:style>
  <w:style w:type="paragraph" w:styleId="FootnoteText">
    <w:name w:val="footnote text"/>
    <w:aliases w:val="M Footnotes"/>
    <w:basedOn w:val="Normal"/>
    <w:link w:val="FootnoteTextChar"/>
    <w:uiPriority w:val="99"/>
    <w:qFormat/>
    <w:rsid w:val="00F07192"/>
    <w:pPr>
      <w:spacing w:after="0" w:line="240" w:lineRule="auto"/>
      <w:jc w:val="both"/>
    </w:pPr>
    <w:rPr>
      <w:rFonts w:eastAsia="Times New Roman"/>
      <w:szCs w:val="22"/>
      <w:lang w:eastAsia="fr-FR"/>
    </w:rPr>
  </w:style>
  <w:style w:type="character" w:customStyle="1" w:styleId="FootnoteTextChar">
    <w:name w:val="Footnote Text Char"/>
    <w:aliases w:val="M Footnotes Char"/>
    <w:basedOn w:val="DefaultParagraphFont"/>
    <w:link w:val="FootnoteText"/>
    <w:uiPriority w:val="99"/>
    <w:rsid w:val="00F07192"/>
    <w:rPr>
      <w:rFonts w:eastAsia="Times New Roman"/>
      <w:szCs w:val="22"/>
      <w:lang w:eastAsia="fr-FR"/>
    </w:rPr>
  </w:style>
  <w:style w:type="character" w:customStyle="1" w:styleId="shorttext">
    <w:name w:val="short_text"/>
    <w:basedOn w:val="DefaultParagraphFont"/>
    <w:rsid w:val="00580FA2"/>
  </w:style>
  <w:style w:type="character" w:styleId="Hyperlink">
    <w:name w:val="Hyperlink"/>
    <w:uiPriority w:val="99"/>
    <w:rsid w:val="00C818E6"/>
    <w:rPr>
      <w:color w:val="0000FF"/>
      <w:u w:val="single"/>
    </w:rPr>
  </w:style>
  <w:style w:type="character" w:styleId="Strong">
    <w:name w:val="Strong"/>
    <w:uiPriority w:val="22"/>
    <w:qFormat/>
    <w:rsid w:val="00C818E6"/>
    <w:rPr>
      <w:b/>
      <w:bCs/>
    </w:rPr>
  </w:style>
  <w:style w:type="character" w:customStyle="1" w:styleId="tlid-translation">
    <w:name w:val="tlid-translation"/>
    <w:basedOn w:val="DefaultParagraphFont"/>
    <w:rsid w:val="00A04F14"/>
  </w:style>
  <w:style w:type="paragraph" w:styleId="Header">
    <w:name w:val="header"/>
    <w:basedOn w:val="Normal"/>
    <w:link w:val="HeaderChar"/>
    <w:uiPriority w:val="99"/>
    <w:unhideWhenUsed/>
    <w:rsid w:val="008B15DD"/>
    <w:pPr>
      <w:tabs>
        <w:tab w:val="center" w:pos="4513"/>
        <w:tab w:val="right" w:pos="9026"/>
      </w:tabs>
      <w:spacing w:after="0" w:line="240" w:lineRule="auto"/>
    </w:pPr>
  </w:style>
  <w:style w:type="character" w:customStyle="1" w:styleId="HeaderChar">
    <w:name w:val="Header Char"/>
    <w:basedOn w:val="DefaultParagraphFont"/>
    <w:link w:val="Header"/>
    <w:uiPriority w:val="99"/>
    <w:rsid w:val="008B15DD"/>
  </w:style>
  <w:style w:type="paragraph" w:styleId="Footer">
    <w:name w:val="footer"/>
    <w:basedOn w:val="Normal"/>
    <w:link w:val="FooterChar"/>
    <w:uiPriority w:val="99"/>
    <w:unhideWhenUsed/>
    <w:rsid w:val="008B15DD"/>
    <w:pPr>
      <w:tabs>
        <w:tab w:val="center" w:pos="4513"/>
        <w:tab w:val="right" w:pos="9026"/>
      </w:tabs>
      <w:spacing w:after="0" w:line="240" w:lineRule="auto"/>
    </w:pPr>
  </w:style>
  <w:style w:type="character" w:customStyle="1" w:styleId="FooterChar">
    <w:name w:val="Footer Char"/>
    <w:basedOn w:val="DefaultParagraphFont"/>
    <w:link w:val="Footer"/>
    <w:uiPriority w:val="99"/>
    <w:rsid w:val="008B15DD"/>
  </w:style>
  <w:style w:type="paragraph" w:styleId="EndnoteText">
    <w:name w:val="endnote text"/>
    <w:basedOn w:val="Normal"/>
    <w:link w:val="EndnoteTextChar"/>
    <w:uiPriority w:val="99"/>
    <w:semiHidden/>
    <w:unhideWhenUsed/>
    <w:rsid w:val="00A86B2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86B21"/>
    <w:rPr>
      <w:sz w:val="20"/>
      <w:szCs w:val="20"/>
    </w:rPr>
  </w:style>
  <w:style w:type="character" w:styleId="EndnoteReference">
    <w:name w:val="endnote reference"/>
    <w:basedOn w:val="DefaultParagraphFont"/>
    <w:uiPriority w:val="99"/>
    <w:semiHidden/>
    <w:unhideWhenUsed/>
    <w:rsid w:val="00A86B2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s://narodne-novine.nn.hr/clanci/sluzbeni/full/2017_10_100_2307.html" TargetMode="External"/><Relationship Id="rId3" Type="http://schemas.openxmlformats.org/officeDocument/2006/relationships/hyperlink" Target="https://narodne-novine.nn.hr/clanci/sluzbeni/2017_07_69_1605.html" TargetMode="External"/><Relationship Id="rId7" Type="http://schemas.openxmlformats.org/officeDocument/2006/relationships/hyperlink" Target="https://narodne-novine.nn.hr/clanci/sluzbeni/2015_04_38_787.html" TargetMode="External"/><Relationship Id="rId2" Type="http://schemas.openxmlformats.org/officeDocument/2006/relationships/hyperlink" Target="https://narodne-novine.nn.hr/clanci/sluzbeni/2013_06_74_1475.html" TargetMode="External"/><Relationship Id="rId1" Type="http://schemas.openxmlformats.org/officeDocument/2006/relationships/hyperlink" Target="http://narodne-novine.nn.hr/clanci/sluzbeni/2011_11_130_2600.html" TargetMode="External"/><Relationship Id="rId6" Type="http://schemas.openxmlformats.org/officeDocument/2006/relationships/hyperlink" Target="https://narodne-novine.nn.hr/clanci/sluzbeni/2013_06_81_1714.html" TargetMode="External"/><Relationship Id="rId11" Type="http://schemas.openxmlformats.org/officeDocument/2006/relationships/hyperlink" Target="https://narodne-novine.nn.hr/clanci/sluzbeni/2017_11_108_2488.html" TargetMode="External"/><Relationship Id="rId5" Type="http://schemas.openxmlformats.org/officeDocument/2006/relationships/hyperlink" Target="https://narodne-novine.nn.hr/clanci/sluzbeni/2012_05_52_1279.html" TargetMode="External"/><Relationship Id="rId10" Type="http://schemas.openxmlformats.org/officeDocument/2006/relationships/hyperlink" Target="http://stari.mup.hr/172024.aspx" TargetMode="External"/><Relationship Id="rId4" Type="http://schemas.openxmlformats.org/officeDocument/2006/relationships/hyperlink" Target="https://www.zakon.hr/z/142/Zakon-o-strancima" TargetMode="External"/><Relationship Id="rId9" Type="http://schemas.openxmlformats.org/officeDocument/2006/relationships/hyperlink" Target="https://narodne-novine.nn.hr/clanci/sluzbeni/2018_07_61_1270.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5E314-1188-4964-8073-E6A2859A2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2549</Words>
  <Characters>14530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17045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dc:creator>
  <cp:lastModifiedBy>Author</cp:lastModifiedBy>
  <cp:revision>4</cp:revision>
  <cp:lastPrinted>2018-08-22T14:26:00Z</cp:lastPrinted>
  <dcterms:created xsi:type="dcterms:W3CDTF">2018-09-17T10:48:00Z</dcterms:created>
  <dcterms:modified xsi:type="dcterms:W3CDTF">2018-09-17T10:52:00Z</dcterms:modified>
</cp:coreProperties>
</file>